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FE5C3" w14:textId="0C61EEFC" w:rsidR="005F7BFA" w:rsidRPr="005F7BFA" w:rsidRDefault="005F7BFA" w:rsidP="005F7BFA">
      <w:pPr>
        <w:spacing w:after="0"/>
        <w:jc w:val="right"/>
        <w:rPr>
          <w:rFonts w:cstheme="minorHAnsi"/>
          <w:color w:val="002060"/>
          <w:sz w:val="24"/>
        </w:rPr>
      </w:pPr>
      <w:r w:rsidRPr="005F7BFA">
        <w:rPr>
          <w:rFonts w:cstheme="minorHAnsi"/>
          <w:color w:val="002060"/>
          <w:sz w:val="24"/>
        </w:rPr>
        <w:t xml:space="preserve">Warszawa, </w:t>
      </w:r>
      <w:r w:rsidR="00B2051E">
        <w:rPr>
          <w:rFonts w:cstheme="minorHAnsi"/>
          <w:color w:val="002060"/>
          <w:sz w:val="24"/>
        </w:rPr>
        <w:t>październik</w:t>
      </w:r>
      <w:r w:rsidR="0054740E" w:rsidRPr="005F7BFA">
        <w:rPr>
          <w:rFonts w:cstheme="minorHAnsi"/>
          <w:color w:val="002060"/>
          <w:sz w:val="24"/>
        </w:rPr>
        <w:t xml:space="preserve"> </w:t>
      </w:r>
      <w:r w:rsidRPr="005F7BFA">
        <w:rPr>
          <w:rFonts w:cstheme="minorHAnsi"/>
          <w:color w:val="002060"/>
          <w:sz w:val="24"/>
        </w:rPr>
        <w:t>202</w:t>
      </w:r>
      <w:r w:rsidR="002812C2">
        <w:rPr>
          <w:rFonts w:cstheme="minorHAnsi"/>
          <w:color w:val="002060"/>
          <w:sz w:val="24"/>
        </w:rPr>
        <w:t>5</w:t>
      </w:r>
    </w:p>
    <w:p w14:paraId="67422D79" w14:textId="77777777" w:rsidR="005F7BFA" w:rsidRDefault="005F7BFA" w:rsidP="008648C2">
      <w:pPr>
        <w:spacing w:after="0"/>
        <w:jc w:val="both"/>
        <w:rPr>
          <w:rFonts w:cstheme="minorHAnsi"/>
          <w:b/>
          <w:color w:val="002060"/>
          <w:sz w:val="24"/>
          <w:u w:val="single"/>
        </w:rPr>
      </w:pPr>
    </w:p>
    <w:p w14:paraId="7396010A" w14:textId="4AF8EC68" w:rsidR="002E52B1" w:rsidRPr="00C725C2" w:rsidRDefault="00C725C2" w:rsidP="004D5987">
      <w:pPr>
        <w:pStyle w:val="Akapitzlist"/>
        <w:spacing w:after="0"/>
        <w:ind w:left="0"/>
        <w:jc w:val="center"/>
        <w:rPr>
          <w:rFonts w:cstheme="minorHAnsi"/>
          <w:b/>
          <w:color w:val="002060"/>
          <w:sz w:val="24"/>
        </w:rPr>
      </w:pPr>
      <w:r w:rsidRPr="00C725C2">
        <w:rPr>
          <w:rFonts w:cstheme="minorHAnsi"/>
          <w:b/>
          <w:color w:val="002060"/>
          <w:sz w:val="24"/>
        </w:rPr>
        <w:t>ETS2 i lokalna trans</w:t>
      </w:r>
      <w:r w:rsidR="007D16A6">
        <w:rPr>
          <w:rFonts w:cstheme="minorHAnsi"/>
          <w:b/>
          <w:color w:val="002060"/>
          <w:sz w:val="24"/>
        </w:rPr>
        <w:t xml:space="preserve">formacja energetyczna – wyzwania </w:t>
      </w:r>
      <w:r w:rsidR="00443D74">
        <w:rPr>
          <w:rFonts w:cstheme="minorHAnsi"/>
          <w:b/>
          <w:color w:val="002060"/>
          <w:sz w:val="24"/>
        </w:rPr>
        <w:t>oraz</w:t>
      </w:r>
      <w:r w:rsidR="007D16A6">
        <w:rPr>
          <w:rFonts w:cstheme="minorHAnsi"/>
          <w:b/>
          <w:color w:val="002060"/>
          <w:sz w:val="24"/>
        </w:rPr>
        <w:t xml:space="preserve"> szanse</w:t>
      </w:r>
      <w:r w:rsidRPr="00C725C2">
        <w:rPr>
          <w:rFonts w:cstheme="minorHAnsi"/>
          <w:b/>
          <w:color w:val="002060"/>
          <w:sz w:val="24"/>
        </w:rPr>
        <w:t xml:space="preserve"> dla samorządów i obywateli</w:t>
      </w:r>
    </w:p>
    <w:p w14:paraId="4E1DD3FD" w14:textId="77777777" w:rsidR="00C725C2" w:rsidRPr="00C725C2" w:rsidRDefault="00C725C2" w:rsidP="004D5987">
      <w:pPr>
        <w:pStyle w:val="Akapitzlist"/>
        <w:spacing w:after="0"/>
        <w:ind w:left="0"/>
        <w:jc w:val="center"/>
        <w:rPr>
          <w:rFonts w:cstheme="minorHAnsi"/>
          <w:b/>
          <w:color w:val="002060"/>
          <w:sz w:val="24"/>
        </w:rPr>
      </w:pPr>
    </w:p>
    <w:p w14:paraId="2336440D" w14:textId="253EEA0A" w:rsidR="00C725C2" w:rsidRPr="00C725C2" w:rsidRDefault="00C725C2" w:rsidP="00C725C2">
      <w:pPr>
        <w:spacing w:after="0"/>
        <w:jc w:val="both"/>
        <w:rPr>
          <w:rFonts w:cstheme="minorHAnsi"/>
          <w:b/>
          <w:color w:val="002060"/>
          <w:sz w:val="24"/>
        </w:rPr>
      </w:pPr>
      <w:r w:rsidRPr="00C725C2">
        <w:rPr>
          <w:rFonts w:cstheme="minorHAnsi"/>
          <w:b/>
          <w:color w:val="002060"/>
          <w:sz w:val="24"/>
        </w:rPr>
        <w:t xml:space="preserve">Wprowadzenie nowego systemu handlu uprawnieniami do emisji dla </w:t>
      </w:r>
      <w:r w:rsidR="00443D74">
        <w:rPr>
          <w:rFonts w:cstheme="minorHAnsi"/>
          <w:b/>
          <w:color w:val="002060"/>
          <w:sz w:val="24"/>
        </w:rPr>
        <w:t>budynków</w:t>
      </w:r>
      <w:r w:rsidRPr="00C725C2">
        <w:rPr>
          <w:rFonts w:cstheme="minorHAnsi"/>
          <w:b/>
          <w:color w:val="002060"/>
          <w:sz w:val="24"/>
        </w:rPr>
        <w:t xml:space="preserve"> i transportu </w:t>
      </w:r>
      <w:r w:rsidR="00443D74">
        <w:rPr>
          <w:rFonts w:cstheme="minorHAnsi"/>
          <w:b/>
          <w:color w:val="002060"/>
          <w:sz w:val="24"/>
        </w:rPr>
        <w:t xml:space="preserve">drogowego </w:t>
      </w:r>
      <w:r w:rsidRPr="00C725C2">
        <w:rPr>
          <w:rFonts w:cstheme="minorHAnsi"/>
          <w:b/>
          <w:color w:val="002060"/>
          <w:sz w:val="24"/>
        </w:rPr>
        <w:t xml:space="preserve">(ETS2) stanowi jeden z najpoważniejszych etapów w unijnej polityce klimatycznej ostatnich lat. Jego celem jest objęcie </w:t>
      </w:r>
      <w:r w:rsidR="009A691C">
        <w:rPr>
          <w:rFonts w:cstheme="minorHAnsi"/>
          <w:b/>
          <w:color w:val="002060"/>
          <w:sz w:val="24"/>
        </w:rPr>
        <w:t xml:space="preserve">mechanizmem </w:t>
      </w:r>
      <w:r w:rsidRPr="00C725C2">
        <w:rPr>
          <w:rFonts w:cstheme="minorHAnsi"/>
          <w:b/>
          <w:color w:val="002060"/>
          <w:sz w:val="24"/>
        </w:rPr>
        <w:t xml:space="preserve">opłat za emisję dwutlenku węgla obszarów, które dotychczas znajdowały się poza systemem ETS, czyli przede wszystkim </w:t>
      </w:r>
      <w:r w:rsidR="009A691C">
        <w:rPr>
          <w:rFonts w:cstheme="minorHAnsi"/>
          <w:b/>
          <w:color w:val="002060"/>
          <w:sz w:val="24"/>
        </w:rPr>
        <w:t xml:space="preserve">podmiotów wykorzystujących paliwa kopalne do ogrzewania budynków </w:t>
      </w:r>
      <w:r w:rsidRPr="00C725C2">
        <w:rPr>
          <w:rFonts w:cstheme="minorHAnsi"/>
          <w:b/>
          <w:color w:val="002060"/>
          <w:sz w:val="24"/>
        </w:rPr>
        <w:t>i transportu drogowego. To zmiana, która – choć nieunikniona w kontekście dążenia do neutralności klimatycznej – niesie ze sobą głębokie skutki społeczne, ekonomiczne i organizacyjne.</w:t>
      </w:r>
    </w:p>
    <w:p w14:paraId="73DD5A0C" w14:textId="77777777" w:rsidR="00C725C2" w:rsidRPr="00C725C2" w:rsidRDefault="00C725C2" w:rsidP="00C725C2">
      <w:pPr>
        <w:spacing w:after="0"/>
        <w:jc w:val="both"/>
        <w:rPr>
          <w:rFonts w:cstheme="minorHAnsi"/>
          <w:color w:val="002060"/>
          <w:sz w:val="24"/>
        </w:rPr>
      </w:pPr>
    </w:p>
    <w:p w14:paraId="0DD46876" w14:textId="5509C147" w:rsidR="00C725C2" w:rsidRPr="00C725C2" w:rsidRDefault="00C725C2" w:rsidP="00C725C2">
      <w:pPr>
        <w:spacing w:after="0"/>
        <w:jc w:val="both"/>
        <w:rPr>
          <w:rFonts w:cstheme="minorHAnsi"/>
          <w:color w:val="002060"/>
          <w:sz w:val="24"/>
        </w:rPr>
      </w:pPr>
      <w:r w:rsidRPr="00C725C2">
        <w:rPr>
          <w:rFonts w:cstheme="minorHAnsi"/>
          <w:color w:val="002060"/>
          <w:sz w:val="24"/>
        </w:rPr>
        <w:t xml:space="preserve">Dotychczasowy system ETS obejmował przede wszystkim </w:t>
      </w:r>
      <w:r w:rsidR="009A691C">
        <w:rPr>
          <w:rFonts w:cstheme="minorHAnsi"/>
          <w:color w:val="002060"/>
          <w:sz w:val="24"/>
        </w:rPr>
        <w:t xml:space="preserve">duże instalacje w </w:t>
      </w:r>
      <w:r w:rsidRPr="00C725C2">
        <w:rPr>
          <w:rFonts w:cstheme="minorHAnsi"/>
          <w:color w:val="002060"/>
          <w:sz w:val="24"/>
        </w:rPr>
        <w:t>przemy</w:t>
      </w:r>
      <w:r w:rsidR="009A691C">
        <w:rPr>
          <w:rFonts w:cstheme="minorHAnsi"/>
          <w:color w:val="002060"/>
          <w:sz w:val="24"/>
        </w:rPr>
        <w:t xml:space="preserve">śle </w:t>
      </w:r>
      <w:r w:rsidRPr="00C725C2">
        <w:rPr>
          <w:rFonts w:cstheme="minorHAnsi"/>
          <w:color w:val="002060"/>
          <w:sz w:val="24"/>
        </w:rPr>
        <w:t>i energety</w:t>
      </w:r>
      <w:r w:rsidR="009A691C">
        <w:rPr>
          <w:rFonts w:cstheme="minorHAnsi"/>
          <w:color w:val="002060"/>
          <w:sz w:val="24"/>
        </w:rPr>
        <w:t>ce</w:t>
      </w:r>
      <w:r w:rsidRPr="00C725C2">
        <w:rPr>
          <w:rFonts w:cstheme="minorHAnsi"/>
          <w:color w:val="002060"/>
          <w:sz w:val="24"/>
        </w:rPr>
        <w:t>, a jego efektywność potwierdzają dane – od 2005 roku emisje w ty</w:t>
      </w:r>
      <w:r>
        <w:rPr>
          <w:rFonts w:cstheme="minorHAnsi"/>
          <w:color w:val="002060"/>
          <w:sz w:val="24"/>
        </w:rPr>
        <w:t>ch sektorach spadły o blisko 48</w:t>
      </w:r>
      <w:r w:rsidRPr="00C725C2">
        <w:rPr>
          <w:rFonts w:cstheme="minorHAnsi"/>
          <w:color w:val="002060"/>
          <w:sz w:val="24"/>
        </w:rPr>
        <w:t>%. Jednak sektor budynków i transportu wciąż odpowiada za ogromną część emisji w Unii Europejskiej. ETS2 ma wypełnić tę lukę, tworząc mechanizm ekonomiczny, który zachęci do redukcji emisji również w tych obszarach.</w:t>
      </w:r>
    </w:p>
    <w:p w14:paraId="28B83223" w14:textId="77777777" w:rsidR="00C725C2" w:rsidRPr="00C725C2" w:rsidRDefault="00C725C2" w:rsidP="00C725C2">
      <w:pPr>
        <w:spacing w:after="0"/>
        <w:jc w:val="both"/>
        <w:rPr>
          <w:rFonts w:cstheme="minorHAnsi"/>
          <w:color w:val="002060"/>
          <w:sz w:val="24"/>
        </w:rPr>
      </w:pPr>
    </w:p>
    <w:p w14:paraId="3D683631" w14:textId="40AA4DC6" w:rsidR="00C725C2" w:rsidRPr="00C725C2" w:rsidRDefault="00C725C2" w:rsidP="00C725C2">
      <w:pPr>
        <w:spacing w:after="0"/>
        <w:jc w:val="both"/>
        <w:rPr>
          <w:rFonts w:cstheme="minorHAnsi"/>
          <w:color w:val="002060"/>
          <w:sz w:val="24"/>
        </w:rPr>
      </w:pPr>
      <w:r w:rsidRPr="00C725C2">
        <w:rPr>
          <w:rFonts w:cstheme="minorHAnsi"/>
          <w:color w:val="002060"/>
          <w:sz w:val="24"/>
        </w:rPr>
        <w:t xml:space="preserve">Nowy system ma działać od 2027 roku, z możliwością przesunięcia startu na 2028, jeśli ceny energii </w:t>
      </w:r>
      <w:r w:rsidR="009A691C">
        <w:rPr>
          <w:rFonts w:cstheme="minorHAnsi"/>
          <w:color w:val="002060"/>
          <w:sz w:val="24"/>
        </w:rPr>
        <w:t xml:space="preserve">lub paliw </w:t>
      </w:r>
      <w:r w:rsidRPr="00C725C2">
        <w:rPr>
          <w:rFonts w:cstheme="minorHAnsi"/>
          <w:color w:val="002060"/>
          <w:sz w:val="24"/>
        </w:rPr>
        <w:t>będą zbyt wysokie. Wdrażany będzie na poziomie dostawców paliw, co oznacza, że w praktyce koszt emisji zostanie przeniesiony na użytkowników końcowych. Już dziś wiadomo, że jego implementacja będzie szczególnie trudna w krajach o wysokim udziale paliw kopalnych w ogrzewnictwie indywidualnym. W Polsce, gdzie ponad trzy miliony gospo</w:t>
      </w:r>
      <w:r w:rsidR="005C4EF6">
        <w:rPr>
          <w:rFonts w:cstheme="minorHAnsi"/>
          <w:color w:val="002060"/>
          <w:sz w:val="24"/>
        </w:rPr>
        <w:t>darstw domowych nadal korzysta</w:t>
      </w:r>
      <w:r w:rsidRPr="00C725C2">
        <w:rPr>
          <w:rFonts w:cstheme="minorHAnsi"/>
          <w:color w:val="002060"/>
          <w:sz w:val="24"/>
        </w:rPr>
        <w:t xml:space="preserve"> z węgla jako podst</w:t>
      </w:r>
      <w:r>
        <w:rPr>
          <w:rFonts w:cstheme="minorHAnsi"/>
          <w:color w:val="002060"/>
          <w:sz w:val="24"/>
        </w:rPr>
        <w:t>awowego źródła ciepła, a ok. 20</w:t>
      </w:r>
      <w:r w:rsidRPr="00C725C2">
        <w:rPr>
          <w:rFonts w:cstheme="minorHAnsi"/>
          <w:color w:val="002060"/>
          <w:sz w:val="24"/>
        </w:rPr>
        <w:t xml:space="preserve">% obywateli ogrzewa </w:t>
      </w:r>
      <w:r>
        <w:rPr>
          <w:rFonts w:cstheme="minorHAnsi"/>
          <w:color w:val="002060"/>
          <w:sz w:val="24"/>
        </w:rPr>
        <w:t>nim swoje domy</w:t>
      </w:r>
      <w:r w:rsidRPr="00C725C2">
        <w:rPr>
          <w:rFonts w:cstheme="minorHAnsi"/>
          <w:color w:val="002060"/>
          <w:sz w:val="24"/>
        </w:rPr>
        <w:t>, objęcie emisji CO₂ dodatkowym kosztem może doprowadzić do znaczącego wzrostu wydatków na energię.</w:t>
      </w:r>
    </w:p>
    <w:p w14:paraId="61F3C898" w14:textId="77777777" w:rsidR="00C725C2" w:rsidRPr="00C725C2" w:rsidRDefault="00C725C2" w:rsidP="00C725C2">
      <w:pPr>
        <w:spacing w:after="0"/>
        <w:jc w:val="both"/>
        <w:rPr>
          <w:rFonts w:cstheme="minorHAnsi"/>
          <w:color w:val="002060"/>
          <w:sz w:val="24"/>
        </w:rPr>
      </w:pPr>
    </w:p>
    <w:p w14:paraId="78B6348A" w14:textId="77777777" w:rsidR="00C725C2" w:rsidRPr="00C725C2" w:rsidRDefault="00C725C2" w:rsidP="00C725C2">
      <w:pPr>
        <w:spacing w:after="0"/>
        <w:jc w:val="both"/>
        <w:rPr>
          <w:rFonts w:cstheme="minorHAnsi"/>
          <w:b/>
          <w:color w:val="002060"/>
          <w:sz w:val="24"/>
        </w:rPr>
      </w:pPr>
      <w:r w:rsidRPr="00C725C2">
        <w:rPr>
          <w:rFonts w:cstheme="minorHAnsi"/>
          <w:b/>
          <w:color w:val="002060"/>
          <w:sz w:val="24"/>
        </w:rPr>
        <w:t>Realne koszty dla obywateli i gospodarstw domowych</w:t>
      </w:r>
    </w:p>
    <w:p w14:paraId="60636468" w14:textId="1618E96F" w:rsidR="00C725C2" w:rsidRPr="00C725C2" w:rsidRDefault="00C725C2" w:rsidP="00C725C2">
      <w:pPr>
        <w:spacing w:after="0"/>
        <w:jc w:val="both"/>
        <w:rPr>
          <w:rFonts w:cstheme="minorHAnsi"/>
          <w:color w:val="002060"/>
          <w:sz w:val="24"/>
        </w:rPr>
      </w:pPr>
      <w:r w:rsidRPr="00C725C2">
        <w:rPr>
          <w:rFonts w:cstheme="minorHAnsi"/>
          <w:color w:val="002060"/>
          <w:sz w:val="24"/>
        </w:rPr>
        <w:t xml:space="preserve">Szacunki wskazują, że przy cenie uprawnień do emisji wynoszącej 45 euro za tonę CO₂ cena węgla mogłaby wzrosnąć o około 460 zł na tonie, gazu o 0,40 zł za metr sześcienny, a paliw silnikowych o około 0,50 zł za litr. Gdyby cena ta osiągnęła 100 euro za tonę, </w:t>
      </w:r>
      <w:r w:rsidR="009A691C">
        <w:rPr>
          <w:rFonts w:cstheme="minorHAnsi"/>
          <w:color w:val="002060"/>
          <w:sz w:val="24"/>
        </w:rPr>
        <w:t xml:space="preserve">te dodatkowe </w:t>
      </w:r>
      <w:r w:rsidRPr="00C725C2">
        <w:rPr>
          <w:rFonts w:cstheme="minorHAnsi"/>
          <w:color w:val="002060"/>
          <w:sz w:val="24"/>
        </w:rPr>
        <w:t>koszty mogłyby wzrosnąć nawet dwukrotnie – węgiel podrożałby o ok. 1 000 zł/t, gaz o 0,90 zł/m³, a benzyna i diesel o blisko 1 zł/l. W niektórych prognozach, sięgających perspektywy 2035 roku, zakłada się, że ceny uprawnień mogą dojść nawet do 200 – 280 euro za tonę, co pokazuje skalę potencjalnego wpływu ETS2 na koszty życia obywateli.</w:t>
      </w:r>
    </w:p>
    <w:p w14:paraId="600FC6EA" w14:textId="77777777" w:rsidR="00C725C2" w:rsidRPr="00C725C2" w:rsidRDefault="00C725C2" w:rsidP="00C725C2">
      <w:pPr>
        <w:spacing w:after="0"/>
        <w:jc w:val="both"/>
        <w:rPr>
          <w:rFonts w:cstheme="minorHAnsi"/>
          <w:color w:val="002060"/>
          <w:sz w:val="24"/>
        </w:rPr>
      </w:pPr>
    </w:p>
    <w:p w14:paraId="685CBAE7" w14:textId="54BD69DF" w:rsidR="00C725C2" w:rsidRPr="00C725C2" w:rsidRDefault="00C725C2" w:rsidP="00C725C2">
      <w:pPr>
        <w:spacing w:after="0"/>
        <w:jc w:val="both"/>
        <w:rPr>
          <w:rFonts w:cstheme="minorHAnsi"/>
          <w:color w:val="002060"/>
          <w:sz w:val="24"/>
        </w:rPr>
      </w:pPr>
      <w:r w:rsidRPr="00C725C2">
        <w:rPr>
          <w:rFonts w:cstheme="minorHAnsi"/>
          <w:i/>
          <w:color w:val="002060"/>
          <w:sz w:val="24"/>
        </w:rPr>
        <w:t xml:space="preserve">- Wprowadzenie ETS2 w założeniu ma stymulować proces odchodzenia od paliw kopalnych, zachęcać do termomodernizacji budynków i wymiany źródeł ciepła na bardziej ekologiczne. Jednak samo wprowadzenie ceny na emisję nie wystarczy, by osiągnąć te cele w sposób sprawiedliwy. Potrzebne są rozbudowane mechanizmy kompensacyjne, które pozwolą zrównoważyć koszty transformacji i zabezpieczyć gospodarstwa domowe o najniższych dochodach </w:t>
      </w:r>
      <w:r w:rsidRPr="00C725C2">
        <w:rPr>
          <w:rFonts w:cstheme="minorHAnsi"/>
          <w:color w:val="002060"/>
          <w:sz w:val="24"/>
        </w:rPr>
        <w:t xml:space="preserve">– komentuje </w:t>
      </w:r>
      <w:r w:rsidRPr="00C725C2">
        <w:rPr>
          <w:rFonts w:cstheme="minorHAnsi"/>
          <w:b/>
          <w:color w:val="002060"/>
          <w:sz w:val="24"/>
        </w:rPr>
        <w:t>Robert Jeszke, Zastępca Dyrektora ds. Zarządzania Emisjami w IOŚ</w:t>
      </w:r>
      <w:r w:rsidRPr="00C725C2">
        <w:rPr>
          <w:rFonts w:ascii="Cambria Math" w:hAnsi="Cambria Math" w:cs="Cambria Math"/>
          <w:b/>
          <w:color w:val="002060"/>
          <w:sz w:val="24"/>
        </w:rPr>
        <w:t>‑</w:t>
      </w:r>
      <w:r w:rsidRPr="00C725C2">
        <w:rPr>
          <w:rFonts w:cstheme="minorHAnsi"/>
          <w:b/>
          <w:color w:val="002060"/>
          <w:sz w:val="24"/>
        </w:rPr>
        <w:t>PIB, Kierownik Krajowego Ośrodka Bilansowania i Zarządzania Emisjami.</w:t>
      </w:r>
    </w:p>
    <w:p w14:paraId="78001DBF" w14:textId="77777777" w:rsidR="00C725C2" w:rsidRPr="00C725C2" w:rsidRDefault="00C725C2" w:rsidP="00C725C2">
      <w:pPr>
        <w:spacing w:after="0"/>
        <w:jc w:val="both"/>
        <w:rPr>
          <w:rFonts w:cstheme="minorHAnsi"/>
          <w:color w:val="002060"/>
          <w:sz w:val="24"/>
        </w:rPr>
      </w:pPr>
    </w:p>
    <w:p w14:paraId="487B0EA1" w14:textId="12A79EC4" w:rsidR="00C725C2" w:rsidRPr="00C725C2" w:rsidRDefault="00C725C2" w:rsidP="00C725C2">
      <w:pPr>
        <w:spacing w:after="0"/>
        <w:jc w:val="both"/>
        <w:rPr>
          <w:rFonts w:cstheme="minorHAnsi"/>
          <w:color w:val="002060"/>
          <w:sz w:val="24"/>
        </w:rPr>
      </w:pPr>
      <w:r w:rsidRPr="00C725C2">
        <w:rPr>
          <w:rFonts w:cstheme="minorHAnsi"/>
          <w:color w:val="002060"/>
          <w:sz w:val="24"/>
        </w:rPr>
        <w:t>Jednym z kluczowych instrumentów łagodzących będzie Społeczny Fundusz Klimatyczny. Jego celem jest wsparcie gospodarstw domowych, mikroprzedsiębiorstw i użytkowników transportu w dostosowaniu się do nowych realiów. Polska ma być największy</w:t>
      </w:r>
      <w:r w:rsidR="009A691C">
        <w:rPr>
          <w:rFonts w:cstheme="minorHAnsi"/>
          <w:color w:val="002060"/>
          <w:sz w:val="24"/>
        </w:rPr>
        <w:t>m</w:t>
      </w:r>
      <w:r w:rsidRPr="00C725C2">
        <w:rPr>
          <w:rFonts w:cstheme="minorHAnsi"/>
          <w:color w:val="002060"/>
          <w:sz w:val="24"/>
        </w:rPr>
        <w:t xml:space="preserve"> beneficjent</w:t>
      </w:r>
      <w:r w:rsidR="009A691C">
        <w:rPr>
          <w:rFonts w:cstheme="minorHAnsi"/>
          <w:color w:val="002060"/>
          <w:sz w:val="24"/>
        </w:rPr>
        <w:t>em</w:t>
      </w:r>
      <w:r w:rsidRPr="00C725C2">
        <w:rPr>
          <w:rFonts w:cstheme="minorHAnsi"/>
          <w:color w:val="002060"/>
          <w:sz w:val="24"/>
        </w:rPr>
        <w:t xml:space="preserve"> funduszu, z przydziałem przekraczającym 11 miliardów euro na lata 2026–2032. Z tej kwoty co najmniej 37,5% – ponad 4,2 miliarda euro – ma zostać przeznaczone na działania osłonowe. Pozostałe środki </w:t>
      </w:r>
      <w:r w:rsidR="009A691C">
        <w:rPr>
          <w:rFonts w:cstheme="minorHAnsi"/>
          <w:color w:val="002060"/>
          <w:sz w:val="24"/>
        </w:rPr>
        <w:t xml:space="preserve">mają </w:t>
      </w:r>
      <w:r w:rsidRPr="00C725C2">
        <w:rPr>
          <w:rFonts w:cstheme="minorHAnsi"/>
          <w:color w:val="002060"/>
          <w:sz w:val="24"/>
        </w:rPr>
        <w:t xml:space="preserve">wspierać inwestycje w efektywność energetyczną, modernizację ciepłownictwa, odnawialne źródła energii, rozwój </w:t>
      </w:r>
      <w:proofErr w:type="spellStart"/>
      <w:r w:rsidRPr="00C725C2">
        <w:rPr>
          <w:rFonts w:cstheme="minorHAnsi"/>
          <w:color w:val="002060"/>
          <w:sz w:val="24"/>
        </w:rPr>
        <w:t>elektromobilności</w:t>
      </w:r>
      <w:proofErr w:type="spellEnd"/>
      <w:r w:rsidRPr="00C725C2">
        <w:rPr>
          <w:rFonts w:cstheme="minorHAnsi"/>
          <w:color w:val="002060"/>
          <w:sz w:val="24"/>
        </w:rPr>
        <w:t xml:space="preserve"> i zeroemisyjnego transportu publicznego.</w:t>
      </w:r>
    </w:p>
    <w:p w14:paraId="33ED00BE" w14:textId="77777777" w:rsidR="00C725C2" w:rsidRPr="00C725C2" w:rsidRDefault="00C725C2" w:rsidP="00C725C2">
      <w:pPr>
        <w:spacing w:after="0"/>
        <w:jc w:val="both"/>
        <w:rPr>
          <w:rFonts w:cstheme="minorHAnsi"/>
          <w:color w:val="002060"/>
          <w:sz w:val="24"/>
        </w:rPr>
      </w:pPr>
    </w:p>
    <w:p w14:paraId="26425317" w14:textId="01A6E281" w:rsidR="00C725C2" w:rsidRPr="00C725C2" w:rsidRDefault="00C725C2" w:rsidP="00C725C2">
      <w:pPr>
        <w:spacing w:after="0"/>
        <w:jc w:val="both"/>
        <w:rPr>
          <w:rFonts w:cstheme="minorHAnsi"/>
          <w:color w:val="002060"/>
          <w:sz w:val="24"/>
        </w:rPr>
      </w:pPr>
      <w:r w:rsidRPr="00C725C2">
        <w:rPr>
          <w:rFonts w:cstheme="minorHAnsi"/>
          <w:color w:val="002060"/>
          <w:sz w:val="24"/>
        </w:rPr>
        <w:t xml:space="preserve">Fundusz ma być </w:t>
      </w:r>
      <w:r w:rsidR="009A691C">
        <w:rPr>
          <w:rFonts w:cstheme="minorHAnsi"/>
          <w:color w:val="002060"/>
          <w:sz w:val="24"/>
        </w:rPr>
        <w:t xml:space="preserve">wykorzystywany na podstawie </w:t>
      </w:r>
      <w:r w:rsidRPr="00C725C2">
        <w:rPr>
          <w:rFonts w:cstheme="minorHAnsi"/>
          <w:color w:val="002060"/>
          <w:sz w:val="24"/>
        </w:rPr>
        <w:t xml:space="preserve">krajowego Planu Społeczno-Klimatycznego, który </w:t>
      </w:r>
      <w:r w:rsidR="009A691C">
        <w:rPr>
          <w:rFonts w:cstheme="minorHAnsi"/>
          <w:color w:val="002060"/>
          <w:sz w:val="24"/>
        </w:rPr>
        <w:t xml:space="preserve">wskazuje cele wsparcia, </w:t>
      </w:r>
      <w:r w:rsidRPr="00C725C2">
        <w:rPr>
          <w:rFonts w:cstheme="minorHAnsi"/>
          <w:color w:val="002060"/>
          <w:sz w:val="24"/>
        </w:rPr>
        <w:t>m.in. termomodernizację budynków, wymianę indywidualnych źródeł ciepła, modernizację oświetlenia ulicznego, inwestycje w lokalne sieci ciepłownicze, rozwój klastrów energii i magazynów energii. Te działania mają nie tylko ograniczać emisje, ale też zwiększać bezpieczeństwo energetyczne i obniżać rachunki w dłuższej perspektywie.</w:t>
      </w:r>
    </w:p>
    <w:p w14:paraId="597A5991" w14:textId="77777777" w:rsidR="00C725C2" w:rsidRPr="00C725C2" w:rsidRDefault="00C725C2" w:rsidP="00C725C2">
      <w:pPr>
        <w:spacing w:after="0"/>
        <w:jc w:val="both"/>
        <w:rPr>
          <w:rFonts w:cstheme="minorHAnsi"/>
          <w:color w:val="002060"/>
          <w:sz w:val="24"/>
        </w:rPr>
      </w:pPr>
    </w:p>
    <w:p w14:paraId="530053F9" w14:textId="77777777" w:rsidR="0016743E" w:rsidRPr="0016743E" w:rsidRDefault="0016743E" w:rsidP="00C725C2">
      <w:pPr>
        <w:spacing w:after="0"/>
        <w:jc w:val="both"/>
        <w:rPr>
          <w:rFonts w:cstheme="minorHAnsi"/>
          <w:b/>
          <w:color w:val="002060"/>
          <w:sz w:val="24"/>
        </w:rPr>
      </w:pPr>
      <w:r w:rsidRPr="0016743E">
        <w:rPr>
          <w:rFonts w:cstheme="minorHAnsi"/>
          <w:b/>
          <w:color w:val="002060"/>
          <w:sz w:val="24"/>
        </w:rPr>
        <w:t>Samorządy w centrum transformacji</w:t>
      </w:r>
    </w:p>
    <w:p w14:paraId="45CB0311" w14:textId="26883906" w:rsidR="00C725C2" w:rsidRPr="00C725C2" w:rsidRDefault="00C725C2" w:rsidP="00C725C2">
      <w:pPr>
        <w:spacing w:after="0"/>
        <w:jc w:val="both"/>
        <w:rPr>
          <w:rFonts w:cstheme="minorHAnsi"/>
          <w:color w:val="002060"/>
          <w:sz w:val="24"/>
        </w:rPr>
      </w:pPr>
      <w:r w:rsidRPr="00C725C2">
        <w:rPr>
          <w:rFonts w:cstheme="minorHAnsi"/>
          <w:color w:val="002060"/>
          <w:sz w:val="24"/>
        </w:rPr>
        <w:t>Jednak nawet tak znaczące środki nie zagwarantują sukcesu, jeśli nie zostaną właściwie zaprogramowane i wykorzystane. W tym kontekście szczególną rolę odgrywają samorządy lokalne, które są najbliżej mieszkańców i najlepiej znają lokalne potrzeby. To właśnie na poziomie gmin i miast rozstrzygnie się, czy transformacja stanie się impulsem do rozwoju, czy źródłem nowych napięć społecznych.</w:t>
      </w:r>
    </w:p>
    <w:p w14:paraId="18417287" w14:textId="77777777" w:rsidR="00C725C2" w:rsidRPr="00C725C2" w:rsidRDefault="00C725C2" w:rsidP="00C725C2">
      <w:pPr>
        <w:spacing w:after="0"/>
        <w:jc w:val="both"/>
        <w:rPr>
          <w:rFonts w:cstheme="minorHAnsi"/>
          <w:color w:val="002060"/>
          <w:sz w:val="24"/>
        </w:rPr>
      </w:pPr>
    </w:p>
    <w:p w14:paraId="21D3663C" w14:textId="3B60E8A3" w:rsidR="00C725C2" w:rsidRPr="00C725C2" w:rsidRDefault="00C725C2" w:rsidP="00C725C2">
      <w:pPr>
        <w:spacing w:after="0"/>
        <w:jc w:val="both"/>
        <w:rPr>
          <w:rFonts w:cstheme="minorHAnsi"/>
          <w:color w:val="002060"/>
          <w:sz w:val="24"/>
        </w:rPr>
      </w:pPr>
      <w:r w:rsidRPr="00C725C2">
        <w:rPr>
          <w:rFonts w:cstheme="minorHAnsi"/>
          <w:color w:val="002060"/>
          <w:sz w:val="24"/>
        </w:rPr>
        <w:t xml:space="preserve">Kluczowym wyzwaniem będzie zapewnienie przewidywalności procesu transformacji. Wysokie ceny uprawnień do emisji, jeśli pozostaną bez odpowiednich buforów i narzędzi stabilizacyjnych, mogą prowadzić do gwałtownych wzrostów kosztów energii. Dlatego konieczne jest etapowe wdrażanie ETS2 – tzw. fazowanie – pozwalające stopniowo dostosowywać się do nowych realiów ekonomicznych. Tylko w ten sposób można </w:t>
      </w:r>
      <w:r w:rsidR="005C4EF6">
        <w:rPr>
          <w:rFonts w:cstheme="minorHAnsi"/>
          <w:color w:val="002060"/>
          <w:sz w:val="24"/>
        </w:rPr>
        <w:t>uzyskać społeczny akcept</w:t>
      </w:r>
      <w:r w:rsidRPr="00C725C2">
        <w:rPr>
          <w:rFonts w:cstheme="minorHAnsi"/>
          <w:color w:val="002060"/>
          <w:sz w:val="24"/>
        </w:rPr>
        <w:t xml:space="preserve"> zmian i zapewnić ich trwałość.</w:t>
      </w:r>
    </w:p>
    <w:p w14:paraId="4605C052" w14:textId="77777777" w:rsidR="00C725C2" w:rsidRPr="00C725C2" w:rsidRDefault="00C725C2" w:rsidP="00C725C2">
      <w:pPr>
        <w:spacing w:after="0"/>
        <w:jc w:val="both"/>
        <w:rPr>
          <w:rFonts w:cstheme="minorHAnsi"/>
          <w:color w:val="002060"/>
          <w:sz w:val="24"/>
        </w:rPr>
      </w:pPr>
    </w:p>
    <w:p w14:paraId="65AFF04A" w14:textId="0A411360" w:rsidR="00C725C2" w:rsidRDefault="00C725C2" w:rsidP="00C725C2">
      <w:pPr>
        <w:spacing w:after="0"/>
        <w:jc w:val="both"/>
        <w:rPr>
          <w:rFonts w:cstheme="minorHAnsi"/>
          <w:color w:val="002060"/>
          <w:sz w:val="24"/>
        </w:rPr>
      </w:pPr>
      <w:r w:rsidRPr="00C725C2">
        <w:rPr>
          <w:rFonts w:cstheme="minorHAnsi"/>
          <w:color w:val="002060"/>
          <w:sz w:val="24"/>
        </w:rPr>
        <w:t>Równie ważna jest koordynacja działań między poziomem krajowym i lokalnym. Samorządy muszą otrzymać realne narzędzia, kompetencje i finansowanie, by prowadzić lokalne programy wspierające efektywność energetyczną i ograniczanie emisji. W przeciwnym razie transformacja energetyczna stanie się procesem nierównomiernym, pogłębiającym różnice regionalne i społeczne.</w:t>
      </w:r>
    </w:p>
    <w:p w14:paraId="7D910391" w14:textId="77777777" w:rsidR="0016743E" w:rsidRPr="00C725C2" w:rsidRDefault="0016743E" w:rsidP="00C725C2">
      <w:pPr>
        <w:spacing w:after="0"/>
        <w:jc w:val="both"/>
        <w:rPr>
          <w:rFonts w:cstheme="minorHAnsi"/>
          <w:color w:val="002060"/>
          <w:sz w:val="24"/>
        </w:rPr>
      </w:pPr>
    </w:p>
    <w:p w14:paraId="29A2334E" w14:textId="05F6D3AF" w:rsidR="00C725C2" w:rsidRPr="0016743E" w:rsidRDefault="0016743E" w:rsidP="00C725C2">
      <w:pPr>
        <w:spacing w:after="0"/>
        <w:jc w:val="both"/>
        <w:rPr>
          <w:rFonts w:cstheme="minorHAnsi"/>
          <w:b/>
          <w:color w:val="002060"/>
          <w:sz w:val="24"/>
        </w:rPr>
      </w:pPr>
      <w:r w:rsidRPr="0016743E">
        <w:rPr>
          <w:rFonts w:cstheme="minorHAnsi"/>
          <w:b/>
          <w:color w:val="002060"/>
          <w:sz w:val="24"/>
        </w:rPr>
        <w:t>Szansa na rozwój, modernizację i nowe miejsca pracy</w:t>
      </w:r>
    </w:p>
    <w:p w14:paraId="4E970ACE" w14:textId="01F4960E" w:rsidR="00C725C2" w:rsidRPr="00C725C2" w:rsidRDefault="00F25638" w:rsidP="00C725C2">
      <w:pPr>
        <w:spacing w:after="0"/>
        <w:jc w:val="both"/>
        <w:rPr>
          <w:rFonts w:cstheme="minorHAnsi"/>
          <w:color w:val="002060"/>
          <w:sz w:val="24"/>
        </w:rPr>
      </w:pPr>
      <w:r w:rsidRPr="00F25638">
        <w:rPr>
          <w:rFonts w:cstheme="minorHAnsi"/>
          <w:color w:val="002060"/>
          <w:sz w:val="24"/>
        </w:rPr>
        <w:t>Choć ETS2 stanowi wyzwanie,</w:t>
      </w:r>
      <w:r w:rsidR="00C725C2" w:rsidRPr="00C725C2">
        <w:rPr>
          <w:rFonts w:cstheme="minorHAnsi"/>
          <w:color w:val="002060"/>
          <w:sz w:val="24"/>
        </w:rPr>
        <w:t xml:space="preserve"> jest również szansą na modernizację infrastruktury i poprawę jakości życia mieszkańców. Może przyspieszyć wymianę przestarzałych źródeł ciepła, rozwój transportu niskoemisyjnego i zwiększenie efektywności energetycznej budynków. Odpowiednio zaplanowane działania mogą stworzyć nowe miejsca pracy, pobudzić lokalne rynki budowlane i instalacyjne oraz przyciągnąć inwestycje w nowe technologie.</w:t>
      </w:r>
      <w:r w:rsidR="00A05334">
        <w:rPr>
          <w:rFonts w:cstheme="minorHAnsi"/>
          <w:color w:val="002060"/>
          <w:sz w:val="24"/>
        </w:rPr>
        <w:t xml:space="preserve"> Jest wysoce prawdopodobne, że niedoskonałości systemu – w szczególności te uderzające w grupy i państwa członkowskie najbardziej wrażliwe na jego skutki – zostaną poprawione, do czego Rada Unii Europejskiej zobowiązała Komisję Europejską w swoich konkluzjach z 23 października 2025 r. </w:t>
      </w:r>
    </w:p>
    <w:p w14:paraId="13866804" w14:textId="77777777" w:rsidR="00C725C2" w:rsidRPr="00C725C2" w:rsidRDefault="00C725C2" w:rsidP="00C725C2">
      <w:pPr>
        <w:spacing w:after="0"/>
        <w:jc w:val="both"/>
        <w:rPr>
          <w:rFonts w:cstheme="minorHAnsi"/>
          <w:color w:val="002060"/>
          <w:sz w:val="24"/>
        </w:rPr>
      </w:pPr>
    </w:p>
    <w:p w14:paraId="700ABF01" w14:textId="26511980" w:rsidR="004D5987" w:rsidRPr="002E52B1" w:rsidRDefault="00C725C2" w:rsidP="00C725C2">
      <w:pPr>
        <w:spacing w:after="0"/>
        <w:jc w:val="both"/>
        <w:rPr>
          <w:rFonts w:cstheme="minorHAnsi"/>
          <w:color w:val="002060"/>
          <w:sz w:val="24"/>
        </w:rPr>
      </w:pPr>
      <w:r w:rsidRPr="00C725C2">
        <w:rPr>
          <w:rFonts w:cstheme="minorHAnsi"/>
          <w:color w:val="002060"/>
          <w:sz w:val="24"/>
        </w:rPr>
        <w:t>Transformacja energetyczna nie jest procesem czysto technologicznym – to przede wszystkim zmiana społeczna. Jej powodzenie zależy od tego, czy mieszkańcy będą w stanie i gotowi uczestniczyć w przemianach, a nie jedynie je finansować. W tym sensie ETS2 stanowi test nie tylko dla gospodarki, ale również dla zdolności państwa i s</w:t>
      </w:r>
      <w:bookmarkStart w:id="0" w:name="_GoBack"/>
      <w:bookmarkEnd w:id="0"/>
      <w:r w:rsidRPr="00C725C2">
        <w:rPr>
          <w:rFonts w:cstheme="minorHAnsi"/>
          <w:color w:val="002060"/>
          <w:sz w:val="24"/>
        </w:rPr>
        <w:t>amorządów do prowadzenia sprawiedliwej i solidarnej polityki klimatycznej.</w:t>
      </w:r>
    </w:p>
    <w:sectPr w:rsidR="004D5987" w:rsidRPr="002E52B1" w:rsidSect="006539AD">
      <w:headerReference w:type="default" r:id="rId8"/>
      <w:footerReference w:type="even" r:id="rId9"/>
      <w:footerReference w:type="default" r:id="rId10"/>
      <w:type w:val="continuous"/>
      <w:pgSz w:w="11900" w:h="16840"/>
      <w:pgMar w:top="2835" w:right="1418" w:bottom="1418" w:left="1418" w:header="709" w:footer="53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B67D65D" w16cex:dateUtc="2024-02-01T10:33:00Z"/>
  <w16cex:commentExtensible w16cex:durableId="35CE46CF" w16cex:dateUtc="2024-02-06T14:57:00Z"/>
  <w16cex:commentExtensible w16cex:durableId="058F7260" w16cex:dateUtc="2024-01-30T11:27:00Z"/>
  <w16cex:commentExtensible w16cex:durableId="2C387D4D" w16cex:dateUtc="2024-01-30T11:34:00Z"/>
  <w16cex:commentExtensible w16cex:durableId="21FCB996" w16cex:dateUtc="2024-02-01T10:40:00Z"/>
  <w16cex:commentExtensible w16cex:durableId="1F0B6D6E" w16cex:dateUtc="2024-02-06T15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47779" w14:textId="77777777" w:rsidR="00F14BA3" w:rsidRDefault="00F14BA3">
      <w:pPr>
        <w:spacing w:after="0" w:line="240" w:lineRule="auto"/>
      </w:pPr>
      <w:r>
        <w:separator/>
      </w:r>
    </w:p>
  </w:endnote>
  <w:endnote w:type="continuationSeparator" w:id="0">
    <w:p w14:paraId="17EB9B05" w14:textId="77777777" w:rsidR="00F14BA3" w:rsidRDefault="00F1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F8CFF" w14:textId="77777777" w:rsidR="00702C59" w:rsidRDefault="001F4064" w:rsidP="00EA736F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3450E67C" w14:textId="77777777" w:rsidR="00702C59" w:rsidRDefault="00702C59" w:rsidP="00204FB2">
    <w:pPr>
      <w:pStyle w:val="Stopka"/>
      <w:ind w:right="360"/>
    </w:pPr>
  </w:p>
  <w:p w14:paraId="1EA6E057" w14:textId="77777777" w:rsidR="00702C59" w:rsidRDefault="00702C59"/>
  <w:p w14:paraId="02F9336A" w14:textId="77777777" w:rsidR="00702C59" w:rsidRDefault="00702C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726C9" w14:textId="79EE1F83" w:rsidR="00702C59" w:rsidRPr="00EA054C" w:rsidRDefault="001F4064" w:rsidP="00562694">
    <w:pPr>
      <w:pStyle w:val="Stopka"/>
      <w:framePr w:w="227" w:h="170" w:hRule="exact" w:wrap="around" w:vAnchor="page" w:hAnchor="page" w:x="10207" w:y="15594"/>
      <w:jc w:val="right"/>
      <w:rPr>
        <w:rStyle w:val="Numerstrony"/>
        <w:sz w:val="16"/>
        <w:szCs w:val="16"/>
      </w:rPr>
    </w:pPr>
    <w:r w:rsidRPr="00EA054C">
      <w:rPr>
        <w:rStyle w:val="Numerstrony"/>
        <w:sz w:val="16"/>
        <w:szCs w:val="16"/>
      </w:rPr>
      <w:fldChar w:fldCharType="begin"/>
    </w:r>
    <w:r w:rsidRPr="00EA054C">
      <w:rPr>
        <w:rStyle w:val="Numerstrony"/>
        <w:sz w:val="16"/>
        <w:szCs w:val="16"/>
      </w:rPr>
      <w:instrText xml:space="preserve"> PAGE </w:instrText>
    </w:r>
    <w:r w:rsidRPr="00EA054C">
      <w:rPr>
        <w:rStyle w:val="Numerstrony"/>
        <w:sz w:val="16"/>
        <w:szCs w:val="16"/>
      </w:rPr>
      <w:fldChar w:fldCharType="separate"/>
    </w:r>
    <w:r w:rsidR="006C3323">
      <w:rPr>
        <w:rStyle w:val="Numerstrony"/>
        <w:sz w:val="16"/>
        <w:szCs w:val="16"/>
      </w:rPr>
      <w:t>2</w:t>
    </w:r>
    <w:r w:rsidRPr="00EA054C">
      <w:rPr>
        <w:rStyle w:val="Numerstrony"/>
        <w:sz w:val="16"/>
        <w:szCs w:val="16"/>
      </w:rPr>
      <w:fldChar w:fldCharType="end"/>
    </w:r>
  </w:p>
  <w:p w14:paraId="4EE7A870" w14:textId="38F76ABF" w:rsidR="00702C59" w:rsidRPr="00BA6BD0" w:rsidRDefault="007605DA" w:rsidP="00CE229E">
    <w:pPr>
      <w:pStyle w:val="Stopka"/>
      <w:tabs>
        <w:tab w:val="left" w:pos="3315"/>
      </w:tabs>
      <w:rPr>
        <w:lang w:val="pl-PL"/>
      </w:rPr>
    </w:pPr>
    <w:r>
      <w:rPr>
        <w:lang w:val="pl-PL" w:eastAsia="pl-PL"/>
      </w:rPr>
      <w:drawing>
        <wp:anchor distT="0" distB="0" distL="114300" distR="114300" simplePos="0" relativeHeight="251660288" behindDoc="1" locked="0" layoutInCell="1" allowOverlap="1" wp14:anchorId="27DB9C74" wp14:editId="2F0DC97C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71105" cy="9029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229E">
      <w:rPr>
        <w:lang w:val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D20DA" w14:textId="77777777" w:rsidR="00F14BA3" w:rsidRDefault="00F14BA3">
      <w:pPr>
        <w:spacing w:after="0" w:line="240" w:lineRule="auto"/>
      </w:pPr>
      <w:r>
        <w:separator/>
      </w:r>
    </w:p>
  </w:footnote>
  <w:footnote w:type="continuationSeparator" w:id="0">
    <w:p w14:paraId="1E084C39" w14:textId="77777777" w:rsidR="00F14BA3" w:rsidRDefault="00F14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5D8BB" w14:textId="667992BD" w:rsidR="00CE229E" w:rsidRDefault="00CE229E">
    <w:pPr>
      <w:pStyle w:val="Nagwek"/>
    </w:pPr>
    <w:r w:rsidRPr="00CE229E">
      <w:rPr>
        <w:rFonts w:cs="Times New Roman (Body CS)"/>
        <w:noProof/>
        <w:lang w:val="pl-PL" w:eastAsia="pl-PL"/>
      </w:rPr>
      <w:drawing>
        <wp:anchor distT="0" distB="0" distL="114300" distR="114300" simplePos="0" relativeHeight="251662336" behindDoc="1" locked="0" layoutInCell="1" allowOverlap="1" wp14:anchorId="60FF3B85" wp14:editId="3F74DBD5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34275" cy="1257300"/>
          <wp:effectExtent l="0" t="0" r="9525" b="0"/>
          <wp:wrapNone/>
          <wp:docPr id="4" name="Obraz 4" descr="C:\Users\katarzyna.pasikowska\Downloads\STOPKA_papier_firmowy_kolor_RGB_STOPKA IOŚ_ skró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pasikowska\Downloads\STOPKA_papier_firmowy_kolor_RGB_STOPKA IOŚ_ skró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C50"/>
    <w:multiLevelType w:val="multilevel"/>
    <w:tmpl w:val="C8AE2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10A4A"/>
    <w:multiLevelType w:val="hybridMultilevel"/>
    <w:tmpl w:val="76529316"/>
    <w:lvl w:ilvl="0" w:tplc="36024E3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1499B"/>
    <w:multiLevelType w:val="hybridMultilevel"/>
    <w:tmpl w:val="1F705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1195A"/>
    <w:multiLevelType w:val="hybridMultilevel"/>
    <w:tmpl w:val="8FFE7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B1B70"/>
    <w:multiLevelType w:val="hybridMultilevel"/>
    <w:tmpl w:val="5E10E1E2"/>
    <w:lvl w:ilvl="0" w:tplc="68F88D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45A6A"/>
    <w:multiLevelType w:val="hybridMultilevel"/>
    <w:tmpl w:val="CFB87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D7A58"/>
    <w:multiLevelType w:val="hybridMultilevel"/>
    <w:tmpl w:val="8ABCC924"/>
    <w:lvl w:ilvl="0" w:tplc="A1B644C4">
      <w:start w:val="2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349AB"/>
    <w:multiLevelType w:val="hybridMultilevel"/>
    <w:tmpl w:val="2E98D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yMzQ1NLQwMTM3NTRV0lEKTi0uzszPAykwqwUAKpi5BiwAAAA="/>
  </w:docVars>
  <w:rsids>
    <w:rsidRoot w:val="00D92ED2"/>
    <w:rsid w:val="00007A8E"/>
    <w:rsid w:val="00013A74"/>
    <w:rsid w:val="00025E53"/>
    <w:rsid w:val="00037564"/>
    <w:rsid w:val="00064103"/>
    <w:rsid w:val="000651A2"/>
    <w:rsid w:val="0007016F"/>
    <w:rsid w:val="00082791"/>
    <w:rsid w:val="00090EB4"/>
    <w:rsid w:val="0009232C"/>
    <w:rsid w:val="000C1D07"/>
    <w:rsid w:val="000C6342"/>
    <w:rsid w:val="000C7C1E"/>
    <w:rsid w:val="000D390C"/>
    <w:rsid w:val="000E5A8D"/>
    <w:rsid w:val="000F16B0"/>
    <w:rsid w:val="000F3E1F"/>
    <w:rsid w:val="000F7202"/>
    <w:rsid w:val="001070D7"/>
    <w:rsid w:val="0011306C"/>
    <w:rsid w:val="00117F8F"/>
    <w:rsid w:val="00121B9F"/>
    <w:rsid w:val="001230DA"/>
    <w:rsid w:val="00132B8B"/>
    <w:rsid w:val="0013651A"/>
    <w:rsid w:val="00137213"/>
    <w:rsid w:val="001435FA"/>
    <w:rsid w:val="0014403B"/>
    <w:rsid w:val="0015624C"/>
    <w:rsid w:val="0016743E"/>
    <w:rsid w:val="00176832"/>
    <w:rsid w:val="001812DE"/>
    <w:rsid w:val="0019256B"/>
    <w:rsid w:val="0019504E"/>
    <w:rsid w:val="001C2D37"/>
    <w:rsid w:val="001D2F86"/>
    <w:rsid w:val="001D7980"/>
    <w:rsid w:val="001E0D8D"/>
    <w:rsid w:val="001E4B7E"/>
    <w:rsid w:val="001F4064"/>
    <w:rsid w:val="001F6BB0"/>
    <w:rsid w:val="00200F17"/>
    <w:rsid w:val="00226325"/>
    <w:rsid w:val="0023267E"/>
    <w:rsid w:val="00236A6E"/>
    <w:rsid w:val="002379D5"/>
    <w:rsid w:val="00240F53"/>
    <w:rsid w:val="00244067"/>
    <w:rsid w:val="00265C28"/>
    <w:rsid w:val="00271AE4"/>
    <w:rsid w:val="00271B47"/>
    <w:rsid w:val="002812C2"/>
    <w:rsid w:val="002A424A"/>
    <w:rsid w:val="002C0268"/>
    <w:rsid w:val="002D172A"/>
    <w:rsid w:val="002E4D33"/>
    <w:rsid w:val="002E52B1"/>
    <w:rsid w:val="00301EB3"/>
    <w:rsid w:val="00304EF9"/>
    <w:rsid w:val="00313C30"/>
    <w:rsid w:val="003340AF"/>
    <w:rsid w:val="00335392"/>
    <w:rsid w:val="00337C88"/>
    <w:rsid w:val="003428C3"/>
    <w:rsid w:val="00343406"/>
    <w:rsid w:val="00351FF2"/>
    <w:rsid w:val="00352AF8"/>
    <w:rsid w:val="0036451E"/>
    <w:rsid w:val="00382169"/>
    <w:rsid w:val="003B410A"/>
    <w:rsid w:val="003C4FA4"/>
    <w:rsid w:val="003D19FC"/>
    <w:rsid w:val="003D31A9"/>
    <w:rsid w:val="003D74D3"/>
    <w:rsid w:val="003E485C"/>
    <w:rsid w:val="004058AD"/>
    <w:rsid w:val="00405F06"/>
    <w:rsid w:val="00413FF2"/>
    <w:rsid w:val="00431DA2"/>
    <w:rsid w:val="00432A09"/>
    <w:rsid w:val="00432AC0"/>
    <w:rsid w:val="00432C5E"/>
    <w:rsid w:val="00443D74"/>
    <w:rsid w:val="004556E4"/>
    <w:rsid w:val="00463FC5"/>
    <w:rsid w:val="004671F1"/>
    <w:rsid w:val="00485025"/>
    <w:rsid w:val="004862F4"/>
    <w:rsid w:val="004A0F81"/>
    <w:rsid w:val="004A4FC5"/>
    <w:rsid w:val="004B2A01"/>
    <w:rsid w:val="004B3534"/>
    <w:rsid w:val="004C0078"/>
    <w:rsid w:val="004C3B46"/>
    <w:rsid w:val="004C47CE"/>
    <w:rsid w:val="004D5385"/>
    <w:rsid w:val="004D5987"/>
    <w:rsid w:val="004E32DF"/>
    <w:rsid w:val="004F1957"/>
    <w:rsid w:val="0050519B"/>
    <w:rsid w:val="00510076"/>
    <w:rsid w:val="005152D1"/>
    <w:rsid w:val="005216C6"/>
    <w:rsid w:val="00522819"/>
    <w:rsid w:val="00535A60"/>
    <w:rsid w:val="00545668"/>
    <w:rsid w:val="0054740E"/>
    <w:rsid w:val="005525F0"/>
    <w:rsid w:val="00555918"/>
    <w:rsid w:val="0056010A"/>
    <w:rsid w:val="0056089F"/>
    <w:rsid w:val="00573792"/>
    <w:rsid w:val="00574878"/>
    <w:rsid w:val="005752A4"/>
    <w:rsid w:val="00584458"/>
    <w:rsid w:val="00593972"/>
    <w:rsid w:val="00593B97"/>
    <w:rsid w:val="005A4D79"/>
    <w:rsid w:val="005B468B"/>
    <w:rsid w:val="005C2316"/>
    <w:rsid w:val="005C4EF6"/>
    <w:rsid w:val="005C7B90"/>
    <w:rsid w:val="005D6D3E"/>
    <w:rsid w:val="005D7C25"/>
    <w:rsid w:val="005E3DA0"/>
    <w:rsid w:val="005E6B1B"/>
    <w:rsid w:val="005F630E"/>
    <w:rsid w:val="005F651F"/>
    <w:rsid w:val="005F7BFA"/>
    <w:rsid w:val="0060260D"/>
    <w:rsid w:val="00614017"/>
    <w:rsid w:val="0062656D"/>
    <w:rsid w:val="00632F52"/>
    <w:rsid w:val="00641435"/>
    <w:rsid w:val="006539AD"/>
    <w:rsid w:val="00663006"/>
    <w:rsid w:val="00670690"/>
    <w:rsid w:val="006C1098"/>
    <w:rsid w:val="006C3323"/>
    <w:rsid w:val="006D352A"/>
    <w:rsid w:val="006D77F4"/>
    <w:rsid w:val="006F1A8E"/>
    <w:rsid w:val="00702C59"/>
    <w:rsid w:val="007050D9"/>
    <w:rsid w:val="007235C6"/>
    <w:rsid w:val="00731C83"/>
    <w:rsid w:val="00736604"/>
    <w:rsid w:val="00741209"/>
    <w:rsid w:val="00752529"/>
    <w:rsid w:val="007605DA"/>
    <w:rsid w:val="0076332E"/>
    <w:rsid w:val="00776722"/>
    <w:rsid w:val="0078003F"/>
    <w:rsid w:val="00792EC8"/>
    <w:rsid w:val="007A3661"/>
    <w:rsid w:val="007A6C4A"/>
    <w:rsid w:val="007C2236"/>
    <w:rsid w:val="007D16A6"/>
    <w:rsid w:val="007E4A7B"/>
    <w:rsid w:val="007F204D"/>
    <w:rsid w:val="007F4496"/>
    <w:rsid w:val="00805468"/>
    <w:rsid w:val="00807736"/>
    <w:rsid w:val="00810566"/>
    <w:rsid w:val="0081063E"/>
    <w:rsid w:val="00813C5D"/>
    <w:rsid w:val="00822DEC"/>
    <w:rsid w:val="008423FE"/>
    <w:rsid w:val="0085309D"/>
    <w:rsid w:val="00857278"/>
    <w:rsid w:val="00863F62"/>
    <w:rsid w:val="008648C2"/>
    <w:rsid w:val="008A0FB1"/>
    <w:rsid w:val="008C357F"/>
    <w:rsid w:val="008C6B9E"/>
    <w:rsid w:val="008D14D4"/>
    <w:rsid w:val="008F22F1"/>
    <w:rsid w:val="008F6882"/>
    <w:rsid w:val="009031B9"/>
    <w:rsid w:val="00926C56"/>
    <w:rsid w:val="00952E21"/>
    <w:rsid w:val="00965189"/>
    <w:rsid w:val="00990D62"/>
    <w:rsid w:val="00991F09"/>
    <w:rsid w:val="00996C15"/>
    <w:rsid w:val="009A1E9C"/>
    <w:rsid w:val="009A691C"/>
    <w:rsid w:val="009B03C8"/>
    <w:rsid w:val="009B3B5D"/>
    <w:rsid w:val="009B7F21"/>
    <w:rsid w:val="009C4C14"/>
    <w:rsid w:val="009C642C"/>
    <w:rsid w:val="009D301A"/>
    <w:rsid w:val="009E0CE2"/>
    <w:rsid w:val="009E42E5"/>
    <w:rsid w:val="009F2990"/>
    <w:rsid w:val="009F3B6D"/>
    <w:rsid w:val="009F6591"/>
    <w:rsid w:val="00A05334"/>
    <w:rsid w:val="00A068C0"/>
    <w:rsid w:val="00A20C55"/>
    <w:rsid w:val="00A23A53"/>
    <w:rsid w:val="00A568F2"/>
    <w:rsid w:val="00A64FF8"/>
    <w:rsid w:val="00A65074"/>
    <w:rsid w:val="00A77B29"/>
    <w:rsid w:val="00A80142"/>
    <w:rsid w:val="00A93CEC"/>
    <w:rsid w:val="00AA47D5"/>
    <w:rsid w:val="00AA7506"/>
    <w:rsid w:val="00AB5E2D"/>
    <w:rsid w:val="00AC1EBD"/>
    <w:rsid w:val="00AC25FC"/>
    <w:rsid w:val="00AC3A54"/>
    <w:rsid w:val="00AE6B0A"/>
    <w:rsid w:val="00AF47BB"/>
    <w:rsid w:val="00B02FC5"/>
    <w:rsid w:val="00B0326A"/>
    <w:rsid w:val="00B15FBF"/>
    <w:rsid w:val="00B2051E"/>
    <w:rsid w:val="00B22A1E"/>
    <w:rsid w:val="00B26957"/>
    <w:rsid w:val="00B837DF"/>
    <w:rsid w:val="00B869A9"/>
    <w:rsid w:val="00B87384"/>
    <w:rsid w:val="00B9391C"/>
    <w:rsid w:val="00B9546C"/>
    <w:rsid w:val="00BB1513"/>
    <w:rsid w:val="00BB6A1D"/>
    <w:rsid w:val="00BC48D4"/>
    <w:rsid w:val="00BC7D73"/>
    <w:rsid w:val="00BD5A40"/>
    <w:rsid w:val="00BE71B8"/>
    <w:rsid w:val="00BF5AF8"/>
    <w:rsid w:val="00C01E66"/>
    <w:rsid w:val="00C124E1"/>
    <w:rsid w:val="00C275BC"/>
    <w:rsid w:val="00C325DE"/>
    <w:rsid w:val="00C3614E"/>
    <w:rsid w:val="00C42005"/>
    <w:rsid w:val="00C44F29"/>
    <w:rsid w:val="00C500D0"/>
    <w:rsid w:val="00C50B97"/>
    <w:rsid w:val="00C54057"/>
    <w:rsid w:val="00C57686"/>
    <w:rsid w:val="00C725C2"/>
    <w:rsid w:val="00C82A4F"/>
    <w:rsid w:val="00C842F1"/>
    <w:rsid w:val="00C928A8"/>
    <w:rsid w:val="00CA2581"/>
    <w:rsid w:val="00CB2C94"/>
    <w:rsid w:val="00CC1C5D"/>
    <w:rsid w:val="00CD2806"/>
    <w:rsid w:val="00CD3BA0"/>
    <w:rsid w:val="00CE229E"/>
    <w:rsid w:val="00CF5613"/>
    <w:rsid w:val="00D01E31"/>
    <w:rsid w:val="00D0549A"/>
    <w:rsid w:val="00D16CB8"/>
    <w:rsid w:val="00D231E0"/>
    <w:rsid w:val="00D276C2"/>
    <w:rsid w:val="00D3419E"/>
    <w:rsid w:val="00D674BD"/>
    <w:rsid w:val="00D74406"/>
    <w:rsid w:val="00D82BA4"/>
    <w:rsid w:val="00D83477"/>
    <w:rsid w:val="00D92ED2"/>
    <w:rsid w:val="00D96B58"/>
    <w:rsid w:val="00DA2039"/>
    <w:rsid w:val="00DB3421"/>
    <w:rsid w:val="00DB4FFB"/>
    <w:rsid w:val="00DB5425"/>
    <w:rsid w:val="00DD013B"/>
    <w:rsid w:val="00DD60D4"/>
    <w:rsid w:val="00DE5445"/>
    <w:rsid w:val="00DE6941"/>
    <w:rsid w:val="00DF72BC"/>
    <w:rsid w:val="00E00654"/>
    <w:rsid w:val="00E06CC1"/>
    <w:rsid w:val="00E22A94"/>
    <w:rsid w:val="00E25DF3"/>
    <w:rsid w:val="00E27189"/>
    <w:rsid w:val="00E529DF"/>
    <w:rsid w:val="00E63F30"/>
    <w:rsid w:val="00E718E2"/>
    <w:rsid w:val="00E733C9"/>
    <w:rsid w:val="00E75F85"/>
    <w:rsid w:val="00E80FB5"/>
    <w:rsid w:val="00E87A50"/>
    <w:rsid w:val="00E91FD5"/>
    <w:rsid w:val="00EA1944"/>
    <w:rsid w:val="00EA2FA4"/>
    <w:rsid w:val="00EA39B2"/>
    <w:rsid w:val="00EC712C"/>
    <w:rsid w:val="00ED2AB7"/>
    <w:rsid w:val="00ED71AB"/>
    <w:rsid w:val="00EF5F41"/>
    <w:rsid w:val="00F1339E"/>
    <w:rsid w:val="00F14BA3"/>
    <w:rsid w:val="00F14FC5"/>
    <w:rsid w:val="00F20FC6"/>
    <w:rsid w:val="00F25638"/>
    <w:rsid w:val="00F31DA3"/>
    <w:rsid w:val="00F34B07"/>
    <w:rsid w:val="00F44C49"/>
    <w:rsid w:val="00F47E3F"/>
    <w:rsid w:val="00F52037"/>
    <w:rsid w:val="00F56AD6"/>
    <w:rsid w:val="00F643F6"/>
    <w:rsid w:val="00F75FA2"/>
    <w:rsid w:val="00FA11CF"/>
    <w:rsid w:val="00FB0FBD"/>
    <w:rsid w:val="00FB1522"/>
    <w:rsid w:val="00FC0E85"/>
    <w:rsid w:val="00FC6BF1"/>
    <w:rsid w:val="00FD527F"/>
    <w:rsid w:val="00FD6321"/>
    <w:rsid w:val="00FE1BF4"/>
    <w:rsid w:val="00FF026D"/>
    <w:rsid w:val="00FF60C5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6A673"/>
  <w15:docId w15:val="{62B2B9FF-8EDB-46D9-8634-F6229C77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530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605DA"/>
    <w:pPr>
      <w:spacing w:after="180" w:line="200" w:lineRule="exact"/>
    </w:pPr>
    <w:rPr>
      <w:rFonts w:eastAsia="Times New Roman" w:cs="Times New Roman"/>
      <w:noProof/>
      <w:color w:val="000000" w:themeColor="text1"/>
      <w:sz w:val="12"/>
      <w:szCs w:val="20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7605DA"/>
    <w:rPr>
      <w:rFonts w:eastAsia="Times New Roman" w:cs="Times New Roman"/>
      <w:noProof/>
      <w:color w:val="000000" w:themeColor="text1"/>
      <w:sz w:val="12"/>
      <w:szCs w:val="20"/>
      <w:lang w:val="en-US"/>
    </w:rPr>
  </w:style>
  <w:style w:type="character" w:styleId="Numerstrony">
    <w:name w:val="page number"/>
    <w:basedOn w:val="Domylnaczcionkaakapitu"/>
    <w:uiPriority w:val="99"/>
    <w:semiHidden/>
    <w:unhideWhenUsed/>
    <w:rsid w:val="007605DA"/>
    <w:rPr>
      <w:rFonts w:asciiTheme="minorHAnsi" w:hAnsiTheme="minorHAnsi" w:cs="Times New Roman"/>
      <w:color w:val="000000" w:themeColor="text1"/>
      <w:sz w:val="15"/>
    </w:rPr>
  </w:style>
  <w:style w:type="paragraph" w:customStyle="1" w:styleId="HeaderTitle">
    <w:name w:val="Header Title"/>
    <w:basedOn w:val="Normalny"/>
    <w:rsid w:val="007605DA"/>
    <w:pPr>
      <w:tabs>
        <w:tab w:val="center" w:pos="4513"/>
        <w:tab w:val="right" w:pos="9026"/>
      </w:tabs>
      <w:spacing w:after="180" w:line="300" w:lineRule="exact"/>
    </w:pPr>
    <w:rPr>
      <w:rFonts w:eastAsia="Times New Roman" w:cs="Times New Roman (Body CS)"/>
      <w:color w:val="000000" w:themeColor="text1"/>
      <w:sz w:val="21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605DA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color w:val="000000" w:themeColor="text1"/>
      <w:sz w:val="21"/>
      <w:szCs w:val="20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7605DA"/>
    <w:rPr>
      <w:rFonts w:eastAsia="Times New Roman" w:cs="Times New Roman"/>
      <w:color w:val="000000" w:themeColor="text1"/>
      <w:sz w:val="21"/>
      <w:szCs w:val="20"/>
      <w:lang w:val="en-US"/>
    </w:rPr>
  </w:style>
  <w:style w:type="character" w:styleId="Pogrubienie">
    <w:name w:val="Strong"/>
    <w:basedOn w:val="Domylnaczcionkaakapitu"/>
    <w:uiPriority w:val="22"/>
    <w:qFormat/>
    <w:rsid w:val="00574878"/>
    <w:rPr>
      <w:b/>
      <w:bCs/>
    </w:rPr>
  </w:style>
  <w:style w:type="paragraph" w:customStyle="1" w:styleId="Normalny1">
    <w:name w:val="Normalny1"/>
    <w:rsid w:val="00200F17"/>
    <w:pPr>
      <w:spacing w:after="0"/>
    </w:pPr>
    <w:rPr>
      <w:rFonts w:ascii="Arial" w:eastAsia="Arial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200F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506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85309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01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01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01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1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1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14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117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C4FA4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3C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3C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3C30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71B4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35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35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352A"/>
    <w:rPr>
      <w:vertAlign w:val="superscript"/>
    </w:rPr>
  </w:style>
  <w:style w:type="paragraph" w:styleId="Poprawka">
    <w:name w:val="Revision"/>
    <w:hidden/>
    <w:uiPriority w:val="99"/>
    <w:semiHidden/>
    <w:rsid w:val="005474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E76624-7C58-4BCE-BEE5-13B22A2AA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928</Words>
  <Characters>5572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Pwowa</dc:creator>
  <cp:lastModifiedBy>Pasikowska Katarzyna</cp:lastModifiedBy>
  <cp:revision>4</cp:revision>
  <cp:lastPrinted>2025-02-17T10:35:00Z</cp:lastPrinted>
  <dcterms:created xsi:type="dcterms:W3CDTF">2025-10-24T08:23:00Z</dcterms:created>
  <dcterms:modified xsi:type="dcterms:W3CDTF">2025-10-24T12:07:00Z</dcterms:modified>
</cp:coreProperties>
</file>