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1FE5C3" w14:textId="25340078" w:rsidR="005F7BFA" w:rsidRPr="005F7BFA" w:rsidRDefault="005F7BFA" w:rsidP="005F7BFA">
      <w:pPr>
        <w:spacing w:after="0"/>
        <w:jc w:val="right"/>
        <w:rPr>
          <w:rFonts w:cstheme="minorHAnsi"/>
          <w:color w:val="002060"/>
          <w:sz w:val="24"/>
        </w:rPr>
      </w:pPr>
      <w:r w:rsidRPr="005F7BFA">
        <w:rPr>
          <w:rFonts w:cstheme="minorHAnsi"/>
          <w:color w:val="002060"/>
          <w:sz w:val="24"/>
        </w:rPr>
        <w:t xml:space="preserve">Warszawa, </w:t>
      </w:r>
      <w:r w:rsidR="008D75CA">
        <w:rPr>
          <w:rFonts w:cstheme="minorHAnsi"/>
          <w:color w:val="002060"/>
          <w:sz w:val="24"/>
        </w:rPr>
        <w:t>maj</w:t>
      </w:r>
      <w:r w:rsidR="00201F46">
        <w:rPr>
          <w:rFonts w:cstheme="minorHAnsi"/>
          <w:color w:val="002060"/>
          <w:sz w:val="24"/>
        </w:rPr>
        <w:t xml:space="preserve"> 2025</w:t>
      </w:r>
    </w:p>
    <w:p w14:paraId="67422D79" w14:textId="77777777" w:rsidR="005F7BFA" w:rsidRDefault="005F7BFA" w:rsidP="008648C2">
      <w:pPr>
        <w:spacing w:after="0"/>
        <w:jc w:val="both"/>
        <w:rPr>
          <w:rFonts w:cstheme="minorHAnsi"/>
          <w:b/>
          <w:color w:val="002060"/>
          <w:sz w:val="24"/>
          <w:u w:val="single"/>
        </w:rPr>
      </w:pPr>
    </w:p>
    <w:p w14:paraId="67C3821B" w14:textId="77777777" w:rsidR="002379D5" w:rsidRDefault="002379D5" w:rsidP="002379D5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  <w:u w:val="single"/>
        </w:rPr>
      </w:pPr>
    </w:p>
    <w:p w14:paraId="062F8301" w14:textId="370CEE2B" w:rsidR="00C70C0B" w:rsidRDefault="00C70C0B" w:rsidP="00C70C0B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  <w:bookmarkStart w:id="0" w:name="_GoBack"/>
      <w:r>
        <w:rPr>
          <w:rFonts w:cstheme="minorHAnsi"/>
          <w:b/>
          <w:color w:val="002060"/>
          <w:sz w:val="24"/>
        </w:rPr>
        <w:t>Eksperci</w:t>
      </w:r>
      <w:r w:rsidRPr="00C70C0B">
        <w:rPr>
          <w:rFonts w:cstheme="minorHAnsi"/>
          <w:b/>
          <w:color w:val="002060"/>
          <w:sz w:val="24"/>
        </w:rPr>
        <w:t xml:space="preserve"> </w:t>
      </w:r>
      <w:r w:rsidR="00FD166E" w:rsidRPr="00AA2015">
        <w:rPr>
          <w:rFonts w:cstheme="minorHAnsi"/>
          <w:b/>
          <w:color w:val="002060"/>
          <w:sz w:val="24"/>
        </w:rPr>
        <w:t>Centrum Analiz Klimatyczno-Energetycznych (CAKE) z</w:t>
      </w:r>
      <w:r w:rsidR="00FD166E">
        <w:rPr>
          <w:b/>
          <w:bCs/>
        </w:rPr>
        <w:t xml:space="preserve"> </w:t>
      </w:r>
      <w:r>
        <w:rPr>
          <w:rFonts w:cstheme="minorHAnsi"/>
          <w:b/>
          <w:color w:val="002060"/>
          <w:sz w:val="24"/>
        </w:rPr>
        <w:t xml:space="preserve">Instytutu Ochrony Środowiska – Państwowego Instytutu Badawczego </w:t>
      </w:r>
      <w:r w:rsidRPr="00C70C0B">
        <w:rPr>
          <w:rFonts w:cstheme="minorHAnsi"/>
          <w:b/>
          <w:color w:val="002060"/>
          <w:sz w:val="24"/>
        </w:rPr>
        <w:t>ponownie z najtrafniejszą krótkoterminową prognozą dotyczącą cen uprawnień do emisji EUA</w:t>
      </w:r>
    </w:p>
    <w:bookmarkEnd w:id="0"/>
    <w:p w14:paraId="13A121AB" w14:textId="77777777" w:rsidR="00C70C0B" w:rsidRDefault="00C70C0B" w:rsidP="00C70C0B">
      <w:pPr>
        <w:pStyle w:val="Akapitzlist"/>
        <w:spacing w:after="0"/>
        <w:ind w:left="0"/>
        <w:jc w:val="center"/>
        <w:rPr>
          <w:rFonts w:cstheme="minorHAnsi"/>
          <w:b/>
          <w:color w:val="002060"/>
          <w:sz w:val="24"/>
        </w:rPr>
      </w:pPr>
    </w:p>
    <w:p w14:paraId="55DB3F83" w14:textId="12571C38" w:rsidR="00C70C0B" w:rsidRPr="00C70C0B" w:rsidRDefault="00C70C0B" w:rsidP="00C70C0B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</w:rPr>
      </w:pPr>
      <w:r>
        <w:rPr>
          <w:rFonts w:cstheme="minorHAnsi"/>
          <w:b/>
          <w:color w:val="002060"/>
          <w:sz w:val="24"/>
        </w:rPr>
        <w:t xml:space="preserve">Eksperci </w:t>
      </w:r>
      <w:r w:rsidR="00FD166E" w:rsidRPr="00C70C0B">
        <w:rPr>
          <w:rFonts w:cstheme="minorHAnsi"/>
          <w:b/>
          <w:color w:val="002060"/>
          <w:sz w:val="24"/>
        </w:rPr>
        <w:t>CAKE</w:t>
      </w:r>
      <w:r w:rsidR="00FD166E">
        <w:rPr>
          <w:rFonts w:cstheme="minorHAnsi"/>
          <w:b/>
          <w:color w:val="002060"/>
          <w:sz w:val="24"/>
        </w:rPr>
        <w:t>/</w:t>
      </w:r>
      <w:proofErr w:type="spellStart"/>
      <w:r w:rsidRPr="00C70C0B">
        <w:rPr>
          <w:rFonts w:cstheme="minorHAnsi"/>
          <w:b/>
          <w:color w:val="002060"/>
          <w:sz w:val="24"/>
        </w:rPr>
        <w:t>KOBiZE</w:t>
      </w:r>
      <w:proofErr w:type="spellEnd"/>
      <w:r>
        <w:rPr>
          <w:rFonts w:cstheme="minorHAnsi"/>
          <w:b/>
          <w:color w:val="002060"/>
          <w:sz w:val="24"/>
        </w:rPr>
        <w:t xml:space="preserve"> w Instytucie Ochrony Środowiska – Państwowym Instytucie Badawczym</w:t>
      </w:r>
      <w:r w:rsidRPr="00C70C0B">
        <w:rPr>
          <w:rFonts w:cstheme="minorHAnsi"/>
          <w:b/>
          <w:color w:val="002060"/>
          <w:sz w:val="24"/>
        </w:rPr>
        <w:t xml:space="preserve"> po raz drugi z rzędu </w:t>
      </w:r>
      <w:r w:rsidR="00FD166E" w:rsidRPr="00C70C0B">
        <w:rPr>
          <w:rFonts w:cstheme="minorHAnsi"/>
          <w:b/>
          <w:color w:val="002060"/>
          <w:sz w:val="24"/>
        </w:rPr>
        <w:t>przedstawi</w:t>
      </w:r>
      <w:r w:rsidR="00FD166E">
        <w:rPr>
          <w:rFonts w:cstheme="minorHAnsi"/>
          <w:b/>
          <w:color w:val="002060"/>
          <w:sz w:val="24"/>
        </w:rPr>
        <w:t>li,</w:t>
      </w:r>
      <w:r w:rsidR="00FD166E" w:rsidRPr="00C70C0B">
        <w:rPr>
          <w:rFonts w:cstheme="minorHAnsi"/>
          <w:b/>
          <w:color w:val="002060"/>
          <w:sz w:val="24"/>
        </w:rPr>
        <w:t xml:space="preserve"> </w:t>
      </w:r>
      <w:r w:rsidRPr="00C70C0B">
        <w:rPr>
          <w:rFonts w:cstheme="minorHAnsi"/>
          <w:b/>
          <w:color w:val="002060"/>
          <w:sz w:val="24"/>
        </w:rPr>
        <w:t xml:space="preserve">w specjalnej ankiecie przygotowanej dla portalu Carbon </w:t>
      </w:r>
      <w:proofErr w:type="spellStart"/>
      <w:r w:rsidRPr="00C70C0B">
        <w:rPr>
          <w:rFonts w:cstheme="minorHAnsi"/>
          <w:b/>
          <w:color w:val="002060"/>
          <w:sz w:val="24"/>
        </w:rPr>
        <w:t>Pulse</w:t>
      </w:r>
      <w:proofErr w:type="spellEnd"/>
      <w:r w:rsidR="00FD166E">
        <w:rPr>
          <w:rFonts w:cstheme="minorHAnsi"/>
          <w:b/>
          <w:color w:val="002060"/>
          <w:sz w:val="24"/>
        </w:rPr>
        <w:t>,</w:t>
      </w:r>
      <w:r w:rsidRPr="00C70C0B">
        <w:rPr>
          <w:rFonts w:cstheme="minorHAnsi"/>
          <w:b/>
          <w:color w:val="002060"/>
          <w:sz w:val="24"/>
        </w:rPr>
        <w:t xml:space="preserve"> najbardziej trafną prognozę cen uprawnień EUA spośród 13 ośrodków analitycznych (m.in. Bloomberg, </w:t>
      </w:r>
      <w:proofErr w:type="spellStart"/>
      <w:r w:rsidRPr="00C70C0B">
        <w:rPr>
          <w:rFonts w:cstheme="minorHAnsi"/>
          <w:b/>
          <w:color w:val="002060"/>
          <w:sz w:val="24"/>
        </w:rPr>
        <w:t>Veyt</w:t>
      </w:r>
      <w:proofErr w:type="spellEnd"/>
      <w:r w:rsidRPr="00C70C0B">
        <w:rPr>
          <w:rFonts w:cstheme="minorHAnsi"/>
          <w:b/>
          <w:color w:val="002060"/>
          <w:sz w:val="24"/>
        </w:rPr>
        <w:t xml:space="preserve">, </w:t>
      </w:r>
      <w:proofErr w:type="spellStart"/>
      <w:r w:rsidRPr="00C70C0B">
        <w:rPr>
          <w:rFonts w:cstheme="minorHAnsi"/>
          <w:b/>
          <w:color w:val="002060"/>
          <w:sz w:val="24"/>
        </w:rPr>
        <w:t>Vertis</w:t>
      </w:r>
      <w:proofErr w:type="spellEnd"/>
      <w:r w:rsidRPr="00C70C0B">
        <w:rPr>
          <w:rFonts w:cstheme="minorHAnsi"/>
          <w:b/>
          <w:color w:val="002060"/>
          <w:sz w:val="24"/>
        </w:rPr>
        <w:t>)</w:t>
      </w:r>
      <w:r>
        <w:rPr>
          <w:rStyle w:val="Odwoanieprzypisudolnego"/>
          <w:rFonts w:cstheme="minorHAnsi"/>
          <w:b/>
          <w:color w:val="002060"/>
          <w:sz w:val="24"/>
        </w:rPr>
        <w:footnoteReference w:id="1"/>
      </w:r>
      <w:r>
        <w:rPr>
          <w:rFonts w:cstheme="minorHAnsi"/>
          <w:b/>
          <w:color w:val="002060"/>
          <w:sz w:val="24"/>
        </w:rPr>
        <w:t>.</w:t>
      </w:r>
      <w:r w:rsidR="00FD166E">
        <w:rPr>
          <w:rFonts w:cstheme="minorHAnsi"/>
          <w:b/>
          <w:color w:val="002060"/>
          <w:sz w:val="24"/>
        </w:rPr>
        <w:t xml:space="preserve"> </w:t>
      </w:r>
      <w:r>
        <w:rPr>
          <w:rFonts w:cstheme="minorHAnsi"/>
          <w:b/>
          <w:color w:val="002060"/>
          <w:sz w:val="24"/>
        </w:rPr>
        <w:t>W ten sposób potwierdzono</w:t>
      </w:r>
      <w:r w:rsidRPr="00C70C0B">
        <w:rPr>
          <w:rFonts w:cstheme="minorHAnsi"/>
          <w:b/>
          <w:color w:val="002060"/>
          <w:sz w:val="24"/>
        </w:rPr>
        <w:t xml:space="preserve"> skuteczność podejścia analitycznego </w:t>
      </w:r>
      <w:r>
        <w:rPr>
          <w:rFonts w:cstheme="minorHAnsi"/>
          <w:b/>
          <w:color w:val="002060"/>
          <w:sz w:val="24"/>
        </w:rPr>
        <w:t xml:space="preserve">zespołu IOŚ-PIB </w:t>
      </w:r>
      <w:r w:rsidRPr="00C70C0B">
        <w:rPr>
          <w:rFonts w:cstheme="minorHAnsi"/>
          <w:b/>
          <w:color w:val="002060"/>
          <w:sz w:val="24"/>
        </w:rPr>
        <w:t>opartego na analizie technicznej i fundamentalnej.</w:t>
      </w:r>
    </w:p>
    <w:p w14:paraId="57206579" w14:textId="77777777" w:rsidR="00C70C0B" w:rsidRPr="00C70C0B" w:rsidRDefault="00C70C0B" w:rsidP="00C70C0B">
      <w:pPr>
        <w:pStyle w:val="Akapitzlist"/>
        <w:spacing w:after="0"/>
        <w:ind w:left="0"/>
        <w:jc w:val="both"/>
        <w:rPr>
          <w:rFonts w:cstheme="minorHAnsi"/>
          <w:b/>
          <w:color w:val="002060"/>
          <w:sz w:val="24"/>
        </w:rPr>
      </w:pPr>
    </w:p>
    <w:p w14:paraId="10E1A77B" w14:textId="7A15A6E8" w:rsidR="00C70C0B" w:rsidRPr="00C70C0B" w:rsidRDefault="00C70C0B" w:rsidP="00C70C0B">
      <w:pPr>
        <w:pStyle w:val="Akapitzlist"/>
        <w:spacing w:after="0"/>
        <w:ind w:left="0"/>
        <w:jc w:val="both"/>
        <w:rPr>
          <w:rFonts w:cstheme="minorHAnsi"/>
          <w:color w:val="002060"/>
          <w:sz w:val="24"/>
        </w:rPr>
      </w:pPr>
      <w:r w:rsidRPr="00C70C0B">
        <w:rPr>
          <w:rFonts w:cstheme="minorHAnsi"/>
          <w:color w:val="002060"/>
          <w:sz w:val="24"/>
        </w:rPr>
        <w:t>W prognozie na I</w:t>
      </w:r>
      <w:r>
        <w:rPr>
          <w:rFonts w:cstheme="minorHAnsi"/>
          <w:color w:val="002060"/>
          <w:sz w:val="24"/>
        </w:rPr>
        <w:t xml:space="preserve"> kwartał 2025 r. zakładano</w:t>
      </w:r>
      <w:r w:rsidRPr="00C70C0B">
        <w:rPr>
          <w:rFonts w:cstheme="minorHAnsi"/>
          <w:color w:val="002060"/>
          <w:sz w:val="24"/>
        </w:rPr>
        <w:t xml:space="preserve">, że średnia cena uprawnień EUA ukształtuje się na poziomie 75 EUR. Była to prognoza najbliższa średniej cenie rozliczenia kontraktów terminowych na uprawnienia EUA z dostawą w grudniu 2025 r., która osiągnęła na giełdzie ICE </w:t>
      </w:r>
      <w:proofErr w:type="spellStart"/>
      <w:r w:rsidRPr="00C70C0B">
        <w:rPr>
          <w:rFonts w:cstheme="minorHAnsi"/>
          <w:color w:val="002060"/>
          <w:sz w:val="24"/>
        </w:rPr>
        <w:t>Endex</w:t>
      </w:r>
      <w:proofErr w:type="spellEnd"/>
      <w:r w:rsidRPr="00C70C0B">
        <w:rPr>
          <w:rFonts w:cstheme="minorHAnsi"/>
          <w:color w:val="002060"/>
          <w:sz w:val="24"/>
        </w:rPr>
        <w:t xml:space="preserve"> poziom 75,13 EUR. Co istotne, już wcześniej, tj. w IV kwartale 2024 r., </w:t>
      </w:r>
      <w:r>
        <w:rPr>
          <w:rFonts w:cstheme="minorHAnsi"/>
          <w:color w:val="002060"/>
          <w:sz w:val="24"/>
        </w:rPr>
        <w:t>eksperci z Polski również byli</w:t>
      </w:r>
      <w:r w:rsidRPr="00C70C0B">
        <w:rPr>
          <w:rFonts w:cstheme="minorHAnsi"/>
          <w:color w:val="002060"/>
          <w:sz w:val="24"/>
        </w:rPr>
        <w:t xml:space="preserve"> najbliżej rzeczywistego poziomu cen, wskazując na średnią cenę 65 EUR (średnia faktyczna cena rozliczenia kontraktów - 65,93 EUR).</w:t>
      </w:r>
    </w:p>
    <w:p w14:paraId="3BE2C8F7" w14:textId="37201EE5" w:rsidR="00C70C0B" w:rsidRDefault="00C70C0B" w:rsidP="00C70C0B">
      <w:pPr>
        <w:pStyle w:val="Akapitzlist"/>
        <w:spacing w:after="0"/>
        <w:ind w:left="0"/>
        <w:jc w:val="both"/>
        <w:rPr>
          <w:rFonts w:cstheme="minorHAnsi"/>
          <w:color w:val="002060"/>
          <w:sz w:val="24"/>
        </w:rPr>
      </w:pPr>
    </w:p>
    <w:p w14:paraId="54C34524" w14:textId="20F3BE6D" w:rsidR="00C70C0B" w:rsidRPr="00833D18" w:rsidRDefault="00C70C0B" w:rsidP="00833D18">
      <w:pPr>
        <w:jc w:val="both"/>
        <w:rPr>
          <w:rFonts w:cstheme="minorHAnsi"/>
          <w:b/>
          <w:color w:val="002060"/>
          <w:sz w:val="24"/>
        </w:rPr>
      </w:pPr>
      <w:r w:rsidRPr="00C70C0B">
        <w:rPr>
          <w:rFonts w:cstheme="minorHAnsi"/>
          <w:i/>
          <w:color w:val="002060"/>
          <w:sz w:val="24"/>
        </w:rPr>
        <w:t xml:space="preserve">- W kontekście dynamicznie zmieniających się uwarunkowań rynkowych, takich jak propozycja ceł na produkty wysokoemisyjne przez USA, spadek emisji w UE czy wahania cen gazu, precyzyjna prognoza cen EUA jest kluczowym narzędziem dla podmiotów gospodarczych planujących strategie dekarbonizacji oraz optymalizację kosztów operacyjnych. Analityczne podejście </w:t>
      </w:r>
      <w:r w:rsidR="00833D18">
        <w:rPr>
          <w:rFonts w:cstheme="minorHAnsi"/>
          <w:i/>
          <w:color w:val="002060"/>
          <w:sz w:val="24"/>
        </w:rPr>
        <w:t>naszego zespołu</w:t>
      </w:r>
      <w:r w:rsidRPr="00C70C0B">
        <w:rPr>
          <w:rFonts w:cstheme="minorHAnsi"/>
          <w:i/>
          <w:color w:val="002060"/>
          <w:sz w:val="24"/>
        </w:rPr>
        <w:t>, które łączy perspektywę makroekonomiczną z modelami symulacyjnymi, dostarcza wartościowych informacji dla uczestników rynku EU ETS, szczególnie w okresach dużej zmiennośc</w:t>
      </w:r>
      <w:r w:rsidR="00833D18">
        <w:rPr>
          <w:rFonts w:cstheme="minorHAnsi"/>
          <w:i/>
          <w:color w:val="002060"/>
          <w:sz w:val="24"/>
        </w:rPr>
        <w:t xml:space="preserve">i regulacyjnej i geopolitycznej </w:t>
      </w:r>
      <w:r w:rsidR="00833D18">
        <w:rPr>
          <w:rFonts w:cstheme="minorHAnsi"/>
          <w:color w:val="002060"/>
          <w:sz w:val="24"/>
        </w:rPr>
        <w:t xml:space="preserve">– komentuje </w:t>
      </w:r>
      <w:r w:rsidR="00833D18" w:rsidRPr="00833D18">
        <w:rPr>
          <w:rFonts w:cstheme="minorHAnsi"/>
          <w:b/>
          <w:color w:val="002060"/>
          <w:sz w:val="24"/>
        </w:rPr>
        <w:t>Robert Jeszke, zastępca dyrektora ds. zarządzania emisjami w IOŚ-PIB.</w:t>
      </w:r>
    </w:p>
    <w:p w14:paraId="064476D0" w14:textId="77777777" w:rsidR="00C70C0B" w:rsidRPr="00C70C0B" w:rsidRDefault="00C70C0B" w:rsidP="00C70C0B">
      <w:pPr>
        <w:pStyle w:val="Akapitzlist"/>
        <w:spacing w:after="0"/>
        <w:ind w:left="0"/>
        <w:jc w:val="both"/>
        <w:rPr>
          <w:rFonts w:cstheme="minorHAnsi"/>
          <w:color w:val="002060"/>
          <w:sz w:val="24"/>
        </w:rPr>
      </w:pPr>
      <w:r w:rsidRPr="00C70C0B">
        <w:rPr>
          <w:rFonts w:cstheme="minorHAnsi"/>
          <w:color w:val="002060"/>
          <w:sz w:val="24"/>
        </w:rPr>
        <w:t xml:space="preserve">W pierwszym kwartale 2025 r. ceny EUA były pod silnym wpływem czynników fundamentalnych (wpływających na podaż i popyt). Jednym z kluczowych elementów była propozycja wprowadzenia ceł na produkty wysokoemisyjne przez USA, co wywołało niepewność co do przyszłości europejskiego przemysłu energochłonnego i jego konkurencyjności. Równocześnie zanotowano około 5% spadek emisji w UE w 2024 r., co przełożyło się na niższy popyt na uprawnienia do emisji EUA. Na ceny uprawnień wpływały </w:t>
      </w:r>
      <w:r w:rsidRPr="00C70C0B">
        <w:rPr>
          <w:rFonts w:cstheme="minorHAnsi"/>
          <w:color w:val="002060"/>
          <w:sz w:val="24"/>
        </w:rPr>
        <w:lastRenderedPageBreak/>
        <w:t>również niższe ceny gazu, powiązane ze spekulacjami dotyczącymi potencjalnego wznowienia przepływu rosyjskiego gazu do Europy.</w:t>
      </w:r>
    </w:p>
    <w:p w14:paraId="0B8EBD31" w14:textId="77777777" w:rsidR="00C70C0B" w:rsidRPr="00C70C0B" w:rsidRDefault="00C70C0B" w:rsidP="00C70C0B">
      <w:pPr>
        <w:pStyle w:val="Akapitzlist"/>
        <w:spacing w:after="0"/>
        <w:ind w:left="0"/>
        <w:jc w:val="both"/>
        <w:rPr>
          <w:rFonts w:cstheme="minorHAnsi"/>
          <w:color w:val="002060"/>
          <w:sz w:val="24"/>
        </w:rPr>
      </w:pPr>
    </w:p>
    <w:p w14:paraId="637A2F81" w14:textId="62844085" w:rsidR="00C70C0B" w:rsidRPr="00C70C0B" w:rsidRDefault="00C70C0B" w:rsidP="00C70C0B">
      <w:pPr>
        <w:pStyle w:val="Akapitzlist"/>
        <w:spacing w:after="0"/>
        <w:ind w:left="0"/>
        <w:jc w:val="both"/>
        <w:rPr>
          <w:rFonts w:cstheme="minorHAnsi"/>
          <w:color w:val="002060"/>
          <w:sz w:val="24"/>
        </w:rPr>
      </w:pPr>
      <w:r w:rsidRPr="00C70C0B">
        <w:rPr>
          <w:rFonts w:cstheme="minorHAnsi"/>
          <w:color w:val="002060"/>
          <w:sz w:val="24"/>
        </w:rPr>
        <w:t>W II kwartale 2025 r. spodziewamy się, że średnia cena uprawnień EUA ukształtuje się na poziomie 70 EUR, a w drugiej połowie roku powinna wzrosnąć do około 85 EUR. Scenariusz ten wspierają m.in.:</w:t>
      </w:r>
    </w:p>
    <w:p w14:paraId="617D5D46" w14:textId="77777777" w:rsidR="00C70C0B" w:rsidRPr="00C70C0B" w:rsidRDefault="00C70C0B" w:rsidP="00C70C0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2060"/>
          <w:sz w:val="24"/>
        </w:rPr>
      </w:pPr>
      <w:r w:rsidRPr="00C70C0B">
        <w:rPr>
          <w:rFonts w:cstheme="minorHAnsi"/>
          <w:color w:val="002060"/>
          <w:sz w:val="24"/>
        </w:rPr>
        <w:t>potencjalne odbicie cen gazu,</w:t>
      </w:r>
    </w:p>
    <w:p w14:paraId="21703879" w14:textId="77777777" w:rsidR="00C70C0B" w:rsidRPr="00C70C0B" w:rsidRDefault="00C70C0B" w:rsidP="00C70C0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2060"/>
          <w:sz w:val="24"/>
        </w:rPr>
      </w:pPr>
      <w:r w:rsidRPr="00C70C0B">
        <w:rPr>
          <w:rFonts w:cstheme="minorHAnsi"/>
          <w:color w:val="002060"/>
          <w:sz w:val="24"/>
        </w:rPr>
        <w:t>poprawa wskaźników makroekonomicznych w UE,</w:t>
      </w:r>
    </w:p>
    <w:p w14:paraId="69333EF7" w14:textId="77777777" w:rsidR="00C70C0B" w:rsidRPr="00C70C0B" w:rsidRDefault="00C70C0B" w:rsidP="00C70C0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2060"/>
          <w:sz w:val="24"/>
        </w:rPr>
      </w:pPr>
      <w:r w:rsidRPr="00C70C0B">
        <w:rPr>
          <w:rFonts w:cstheme="minorHAnsi"/>
          <w:color w:val="002060"/>
          <w:sz w:val="24"/>
        </w:rPr>
        <w:t>przyszłe ograniczanie liczby dostępnych uprawnień w EU ETS,</w:t>
      </w:r>
    </w:p>
    <w:p w14:paraId="6E036EBB" w14:textId="77777777" w:rsidR="00C70C0B" w:rsidRPr="00C70C0B" w:rsidRDefault="00C70C0B" w:rsidP="00C70C0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2060"/>
          <w:sz w:val="24"/>
        </w:rPr>
      </w:pPr>
      <w:r w:rsidRPr="00C70C0B">
        <w:rPr>
          <w:rFonts w:cstheme="minorHAnsi"/>
          <w:color w:val="002060"/>
          <w:sz w:val="24"/>
        </w:rPr>
        <w:t>oczekiwane złagodzenie napięć handlowych między UE a USA (porozumienie w sprawie ceł),</w:t>
      </w:r>
    </w:p>
    <w:p w14:paraId="14BBF672" w14:textId="1296F37D" w:rsidR="00C70C0B" w:rsidRDefault="00C70C0B" w:rsidP="00C70C0B">
      <w:pPr>
        <w:pStyle w:val="Akapitzlist"/>
        <w:numPr>
          <w:ilvl w:val="0"/>
          <w:numId w:val="6"/>
        </w:numPr>
        <w:spacing w:after="0"/>
        <w:jc w:val="both"/>
        <w:rPr>
          <w:rFonts w:cstheme="minorHAnsi"/>
          <w:color w:val="002060"/>
          <w:sz w:val="24"/>
        </w:rPr>
      </w:pPr>
      <w:r w:rsidRPr="00C70C0B">
        <w:rPr>
          <w:rFonts w:cstheme="minorHAnsi"/>
          <w:color w:val="002060"/>
          <w:sz w:val="24"/>
        </w:rPr>
        <w:t xml:space="preserve">możliwe poluzowanie polityki pieniężnej przez Europejski Bank Centralny, a także pojawiające się inicjatywy zbrojeniowe, takie jak unijny program </w:t>
      </w:r>
      <w:proofErr w:type="spellStart"/>
      <w:r w:rsidRPr="00C70C0B">
        <w:rPr>
          <w:rFonts w:cstheme="minorHAnsi"/>
          <w:color w:val="002060"/>
          <w:sz w:val="24"/>
        </w:rPr>
        <w:t>ReArm</w:t>
      </w:r>
      <w:proofErr w:type="spellEnd"/>
      <w:r w:rsidRPr="00C70C0B">
        <w:rPr>
          <w:rFonts w:cstheme="minorHAnsi"/>
          <w:color w:val="002060"/>
          <w:sz w:val="24"/>
        </w:rPr>
        <w:t>, wpływające na produkcję w przemyśle i wielkość emisji.</w:t>
      </w:r>
    </w:p>
    <w:p w14:paraId="4407CDDD" w14:textId="77777777" w:rsidR="00C70C0B" w:rsidRPr="00C70C0B" w:rsidRDefault="00C70C0B" w:rsidP="00C70C0B">
      <w:pPr>
        <w:pStyle w:val="Akapitzlist"/>
        <w:spacing w:after="0"/>
        <w:jc w:val="both"/>
        <w:rPr>
          <w:rFonts w:cstheme="minorHAnsi"/>
          <w:color w:val="002060"/>
          <w:sz w:val="24"/>
        </w:rPr>
      </w:pPr>
    </w:p>
    <w:p w14:paraId="09EA264B" w14:textId="23C2B73E" w:rsidR="00C70C0B" w:rsidRPr="00C70C0B" w:rsidRDefault="00C70C0B" w:rsidP="00C70C0B">
      <w:pPr>
        <w:pStyle w:val="Akapitzlist"/>
        <w:spacing w:after="0"/>
        <w:ind w:left="0"/>
        <w:jc w:val="both"/>
        <w:rPr>
          <w:rFonts w:cstheme="minorHAnsi"/>
          <w:color w:val="002060"/>
          <w:sz w:val="24"/>
        </w:rPr>
      </w:pPr>
      <w:r w:rsidRPr="00C70C0B">
        <w:rPr>
          <w:rFonts w:cstheme="minorHAnsi"/>
          <w:color w:val="002060"/>
          <w:sz w:val="24"/>
        </w:rPr>
        <w:t xml:space="preserve">W dłuższym horyzoncie czasowym prognoza </w:t>
      </w:r>
      <w:r>
        <w:rPr>
          <w:rFonts w:cstheme="minorHAnsi"/>
          <w:color w:val="002060"/>
          <w:sz w:val="24"/>
        </w:rPr>
        <w:t xml:space="preserve">ekspertów </w:t>
      </w:r>
      <w:r w:rsidR="00FD166E" w:rsidRPr="00FD166E">
        <w:rPr>
          <w:rFonts w:cstheme="minorHAnsi"/>
          <w:color w:val="002060"/>
          <w:sz w:val="24"/>
        </w:rPr>
        <w:t>CAKE/</w:t>
      </w:r>
      <w:proofErr w:type="spellStart"/>
      <w:r w:rsidR="00FD166E" w:rsidRPr="00FD166E">
        <w:rPr>
          <w:rFonts w:cstheme="minorHAnsi"/>
          <w:color w:val="002060"/>
          <w:sz w:val="24"/>
        </w:rPr>
        <w:t>KOBiZE</w:t>
      </w:r>
      <w:proofErr w:type="spellEnd"/>
      <w:r w:rsidR="00FD166E" w:rsidRPr="00FD166E" w:rsidDel="00FD166E">
        <w:rPr>
          <w:rFonts w:cstheme="minorHAnsi"/>
          <w:color w:val="002060"/>
          <w:sz w:val="24"/>
        </w:rPr>
        <w:t xml:space="preserve"> </w:t>
      </w:r>
      <w:r w:rsidR="00FD166E">
        <w:rPr>
          <w:rFonts w:cstheme="minorHAnsi"/>
          <w:color w:val="002060"/>
          <w:sz w:val="24"/>
        </w:rPr>
        <w:t>w</w:t>
      </w:r>
      <w:r>
        <w:rPr>
          <w:rFonts w:cstheme="minorHAnsi"/>
          <w:color w:val="002060"/>
          <w:sz w:val="24"/>
        </w:rPr>
        <w:t xml:space="preserve"> IOŚ-PIB</w:t>
      </w:r>
      <w:r w:rsidRPr="00C70C0B">
        <w:rPr>
          <w:rFonts w:cstheme="minorHAnsi"/>
          <w:color w:val="002060"/>
          <w:sz w:val="24"/>
        </w:rPr>
        <w:t xml:space="preserve"> pozostaje niezmieniona: w 2030 r. </w:t>
      </w:r>
      <w:r>
        <w:rPr>
          <w:rFonts w:cstheme="minorHAnsi"/>
          <w:color w:val="002060"/>
          <w:sz w:val="24"/>
        </w:rPr>
        <w:t>eksperci spodziewają</w:t>
      </w:r>
      <w:r w:rsidRPr="00C70C0B">
        <w:rPr>
          <w:rFonts w:cstheme="minorHAnsi"/>
          <w:color w:val="002060"/>
          <w:sz w:val="24"/>
        </w:rPr>
        <w:t xml:space="preserve"> się ceny uprawnień EUA na poziomie 200 EUR, zgodnie z wynikami </w:t>
      </w:r>
      <w:r>
        <w:rPr>
          <w:rFonts w:cstheme="minorHAnsi"/>
          <w:color w:val="002060"/>
          <w:sz w:val="24"/>
        </w:rPr>
        <w:t>ich</w:t>
      </w:r>
      <w:r w:rsidRPr="00C70C0B">
        <w:rPr>
          <w:rFonts w:cstheme="minorHAnsi"/>
          <w:color w:val="002060"/>
          <w:sz w:val="24"/>
        </w:rPr>
        <w:t xml:space="preserve"> modeli - CREAM CGE i modelu symulacyjnego dla rynku EU ETS (Carbon Pie). Powyższe prognozy są odzwierciedleniem znaczącego szacowanego spadku podaży uprawnień w EU ETS w przyszłości.</w:t>
      </w:r>
    </w:p>
    <w:p w14:paraId="1A6D1EE9" w14:textId="73C58B56" w:rsidR="00C70C0B" w:rsidRPr="00C70C0B" w:rsidRDefault="00C70C0B" w:rsidP="008F22F1">
      <w:pPr>
        <w:pStyle w:val="Akapitzlist"/>
        <w:spacing w:after="0"/>
        <w:ind w:left="0"/>
        <w:jc w:val="both"/>
        <w:rPr>
          <w:rFonts w:cstheme="minorHAnsi"/>
          <w:color w:val="002060"/>
          <w:sz w:val="24"/>
        </w:rPr>
      </w:pPr>
    </w:p>
    <w:p w14:paraId="7C7F5614" w14:textId="21E7752C" w:rsidR="00C70C0B" w:rsidRPr="00C70C0B" w:rsidRDefault="00C70C0B" w:rsidP="008F22F1">
      <w:pPr>
        <w:pStyle w:val="Akapitzlist"/>
        <w:spacing w:after="0"/>
        <w:ind w:left="0"/>
        <w:jc w:val="both"/>
        <w:rPr>
          <w:rFonts w:cstheme="minorHAnsi"/>
          <w:color w:val="002060"/>
          <w:sz w:val="24"/>
        </w:rPr>
      </w:pPr>
    </w:p>
    <w:sectPr w:rsidR="00C70C0B" w:rsidRPr="00C70C0B" w:rsidSect="006539AD">
      <w:headerReference w:type="default" r:id="rId8"/>
      <w:footerReference w:type="even" r:id="rId9"/>
      <w:footerReference w:type="default" r:id="rId10"/>
      <w:type w:val="continuous"/>
      <w:pgSz w:w="11900" w:h="16840"/>
      <w:pgMar w:top="2835" w:right="1418" w:bottom="1418" w:left="1418" w:header="709" w:footer="53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3B67D65D" w16cex:dateUtc="2024-02-01T10:33:00Z"/>
  <w16cex:commentExtensible w16cex:durableId="35CE46CF" w16cex:dateUtc="2024-02-06T14:57:00Z"/>
  <w16cex:commentExtensible w16cex:durableId="058F7260" w16cex:dateUtc="2024-01-30T11:27:00Z"/>
  <w16cex:commentExtensible w16cex:durableId="2C387D4D" w16cex:dateUtc="2024-01-30T11:34:00Z"/>
  <w16cex:commentExtensible w16cex:durableId="21FCB996" w16cex:dateUtc="2024-02-01T10:40:00Z"/>
  <w16cex:commentExtensible w16cex:durableId="1F0B6D6E" w16cex:dateUtc="2024-02-06T15:00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B84666" w14:textId="77777777" w:rsidR="00095560" w:rsidRDefault="00095560">
      <w:pPr>
        <w:spacing w:after="0" w:line="240" w:lineRule="auto"/>
      </w:pPr>
      <w:r>
        <w:separator/>
      </w:r>
    </w:p>
  </w:endnote>
  <w:endnote w:type="continuationSeparator" w:id="0">
    <w:p w14:paraId="1FCD108A" w14:textId="77777777" w:rsidR="00095560" w:rsidRDefault="000955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7F8CFF" w14:textId="77777777" w:rsidR="00702C59" w:rsidRDefault="001F4064" w:rsidP="00EA736F">
    <w:pPr>
      <w:pStyle w:val="Stopka"/>
      <w:framePr w:wrap="none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>
      <w:rPr>
        <w:rStyle w:val="Numerstrony"/>
      </w:rPr>
      <w:fldChar w:fldCharType="end"/>
    </w:r>
  </w:p>
  <w:p w14:paraId="3450E67C" w14:textId="77777777" w:rsidR="00702C59" w:rsidRDefault="00702C59" w:rsidP="00204FB2">
    <w:pPr>
      <w:pStyle w:val="Stopka"/>
      <w:ind w:right="360"/>
    </w:pPr>
  </w:p>
  <w:p w14:paraId="1EA6E057" w14:textId="77777777" w:rsidR="00702C59" w:rsidRDefault="00702C59"/>
  <w:p w14:paraId="02F9336A" w14:textId="77777777" w:rsidR="00702C59" w:rsidRDefault="00702C5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726C9" w14:textId="4090AB3A" w:rsidR="00702C59" w:rsidRPr="00EA054C" w:rsidRDefault="001F4064" w:rsidP="00562694">
    <w:pPr>
      <w:pStyle w:val="Stopka"/>
      <w:framePr w:w="227" w:h="170" w:hRule="exact" w:wrap="around" w:vAnchor="page" w:hAnchor="page" w:x="10207" w:y="15594"/>
      <w:jc w:val="right"/>
      <w:rPr>
        <w:rStyle w:val="Numerstrony"/>
        <w:sz w:val="16"/>
        <w:szCs w:val="16"/>
      </w:rPr>
    </w:pPr>
    <w:r w:rsidRPr="00EA054C">
      <w:rPr>
        <w:rStyle w:val="Numerstrony"/>
        <w:sz w:val="16"/>
        <w:szCs w:val="16"/>
      </w:rPr>
      <w:fldChar w:fldCharType="begin"/>
    </w:r>
    <w:r w:rsidRPr="00EA054C">
      <w:rPr>
        <w:rStyle w:val="Numerstrony"/>
        <w:sz w:val="16"/>
        <w:szCs w:val="16"/>
      </w:rPr>
      <w:instrText xml:space="preserve"> PAGE </w:instrText>
    </w:r>
    <w:r w:rsidRPr="00EA054C">
      <w:rPr>
        <w:rStyle w:val="Numerstrony"/>
        <w:sz w:val="16"/>
        <w:szCs w:val="16"/>
      </w:rPr>
      <w:fldChar w:fldCharType="separate"/>
    </w:r>
    <w:r w:rsidR="00AA2015">
      <w:rPr>
        <w:rStyle w:val="Numerstrony"/>
        <w:sz w:val="16"/>
        <w:szCs w:val="16"/>
      </w:rPr>
      <w:t>2</w:t>
    </w:r>
    <w:r w:rsidRPr="00EA054C">
      <w:rPr>
        <w:rStyle w:val="Numerstrony"/>
        <w:sz w:val="16"/>
        <w:szCs w:val="16"/>
      </w:rPr>
      <w:fldChar w:fldCharType="end"/>
    </w:r>
  </w:p>
  <w:p w14:paraId="4EE7A870" w14:textId="38F76ABF" w:rsidR="00702C59" w:rsidRPr="00BA6BD0" w:rsidRDefault="007605DA" w:rsidP="00CE229E">
    <w:pPr>
      <w:pStyle w:val="Stopka"/>
      <w:tabs>
        <w:tab w:val="left" w:pos="3315"/>
      </w:tabs>
      <w:rPr>
        <w:lang w:val="pl-PL"/>
      </w:rPr>
    </w:pPr>
    <w:r>
      <w:rPr>
        <w:lang w:val="pl-PL" w:eastAsia="pl-PL"/>
      </w:rPr>
      <w:drawing>
        <wp:anchor distT="0" distB="0" distL="114300" distR="114300" simplePos="0" relativeHeight="251660288" behindDoc="1" locked="0" layoutInCell="1" allowOverlap="1" wp14:anchorId="27DB9C74" wp14:editId="2F0DC97C">
          <wp:simplePos x="0" y="0"/>
          <wp:positionH relativeFrom="page">
            <wp:posOffset>0</wp:posOffset>
          </wp:positionH>
          <wp:positionV relativeFrom="page">
            <wp:align>bottom</wp:align>
          </wp:positionV>
          <wp:extent cx="7571105" cy="90297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105" cy="902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E229E">
      <w:rPr>
        <w:lang w:val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CD37E" w14:textId="77777777" w:rsidR="00095560" w:rsidRDefault="00095560">
      <w:pPr>
        <w:spacing w:after="0" w:line="240" w:lineRule="auto"/>
      </w:pPr>
      <w:r>
        <w:separator/>
      </w:r>
    </w:p>
  </w:footnote>
  <w:footnote w:type="continuationSeparator" w:id="0">
    <w:p w14:paraId="66FDDBC7" w14:textId="77777777" w:rsidR="00095560" w:rsidRDefault="00095560">
      <w:pPr>
        <w:spacing w:after="0" w:line="240" w:lineRule="auto"/>
      </w:pPr>
      <w:r>
        <w:continuationSeparator/>
      </w:r>
    </w:p>
  </w:footnote>
  <w:footnote w:id="1">
    <w:p w14:paraId="47F69CCB" w14:textId="2F685DEB" w:rsidR="00C70C0B" w:rsidRPr="00AA2015" w:rsidRDefault="00C70C0B">
      <w:pPr>
        <w:pStyle w:val="Tekstprzypisudolnego"/>
        <w:rPr>
          <w:lang w:val="en-GB"/>
        </w:rPr>
      </w:pPr>
      <w:r>
        <w:rPr>
          <w:rStyle w:val="Odwoanieprzypisudolnego"/>
        </w:rPr>
        <w:footnoteRef/>
      </w:r>
      <w:r w:rsidRPr="00AA2015">
        <w:rPr>
          <w:lang w:val="en-GB"/>
        </w:rPr>
        <w:t xml:space="preserve"> </w:t>
      </w:r>
      <w:hyperlink r:id="rId1" w:history="1">
        <w:r w:rsidRPr="00AA2015">
          <w:rPr>
            <w:rStyle w:val="Hipercze"/>
            <w:lang w:val="en-GB"/>
          </w:rPr>
          <w:t>POLL: Analysts cut EUA price forecasts as trade tensions, weak demand weigh « Carbon Pulse</w:t>
        </w:r>
      </w:hyperlink>
      <w:r w:rsidRPr="00AA2015">
        <w:rPr>
          <w:lang w:val="en-GB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55D8BB" w14:textId="667992BD" w:rsidR="00CE229E" w:rsidRDefault="00CE229E">
    <w:pPr>
      <w:pStyle w:val="Nagwek"/>
    </w:pPr>
    <w:r w:rsidRPr="00CE229E">
      <w:rPr>
        <w:rFonts w:cs="Times New Roman (Body CS)"/>
        <w:noProof/>
        <w:lang w:val="pl-PL" w:eastAsia="pl-PL"/>
      </w:rPr>
      <w:drawing>
        <wp:anchor distT="0" distB="0" distL="114300" distR="114300" simplePos="0" relativeHeight="251662336" behindDoc="1" locked="0" layoutInCell="1" allowOverlap="1" wp14:anchorId="60FF3B85" wp14:editId="3F74DBD5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7534275" cy="1257300"/>
          <wp:effectExtent l="0" t="0" r="9525" b="0"/>
          <wp:wrapNone/>
          <wp:docPr id="4" name="Obraz 4" descr="C:\Users\katarzyna.pasikowska\Downloads\STOPKA_papier_firmowy_kolor_RGB_STOPKA IOŚ_ skró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atarzyna.pasikowska\Downloads\STOPKA_papier_firmowy_kolor_RGB_STOPKA IOŚ_ skrót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11C50"/>
    <w:multiLevelType w:val="multilevel"/>
    <w:tmpl w:val="C8AE2E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E10A4A"/>
    <w:multiLevelType w:val="hybridMultilevel"/>
    <w:tmpl w:val="76529316"/>
    <w:lvl w:ilvl="0" w:tplc="36024E3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423EE"/>
    <w:multiLevelType w:val="hybridMultilevel"/>
    <w:tmpl w:val="41A006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1B70"/>
    <w:multiLevelType w:val="hybridMultilevel"/>
    <w:tmpl w:val="5E10E1E2"/>
    <w:lvl w:ilvl="0" w:tplc="68F88D2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DD7A58"/>
    <w:multiLevelType w:val="hybridMultilevel"/>
    <w:tmpl w:val="8ABCC924"/>
    <w:lvl w:ilvl="0" w:tplc="A1B644C4">
      <w:start w:val="2"/>
      <w:numFmt w:val="bullet"/>
      <w:lvlText w:val=""/>
      <w:lvlJc w:val="left"/>
      <w:pPr>
        <w:ind w:left="720" w:hanging="360"/>
      </w:pPr>
      <w:rPr>
        <w:rFonts w:ascii="Wingdings" w:hAnsi="Wingdings" w:hint="default"/>
        <w:b w:val="0"/>
        <w:i w:val="0"/>
        <w:strike w:val="0"/>
        <w:dstrike w:val="0"/>
        <w:color w:val="auto"/>
        <w:sz w:val="24"/>
        <w:szCs w:val="24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349AB"/>
    <w:multiLevelType w:val="hybridMultilevel"/>
    <w:tmpl w:val="2E98D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yMzQ1NLQwMTM3NTRV0lEKTi0uzszPAykwqwUAKpi5BiwAAAA="/>
  </w:docVars>
  <w:rsids>
    <w:rsidRoot w:val="00D92ED2"/>
    <w:rsid w:val="00005D67"/>
    <w:rsid w:val="00007A8E"/>
    <w:rsid w:val="00013A74"/>
    <w:rsid w:val="00030CE2"/>
    <w:rsid w:val="00037564"/>
    <w:rsid w:val="00064103"/>
    <w:rsid w:val="000679CF"/>
    <w:rsid w:val="00082791"/>
    <w:rsid w:val="00090EB4"/>
    <w:rsid w:val="0009232C"/>
    <w:rsid w:val="00095560"/>
    <w:rsid w:val="000C1D07"/>
    <w:rsid w:val="000C6342"/>
    <w:rsid w:val="000C7C1E"/>
    <w:rsid w:val="000E5A8D"/>
    <w:rsid w:val="000F16B0"/>
    <w:rsid w:val="000F3E1F"/>
    <w:rsid w:val="000F7202"/>
    <w:rsid w:val="001070D7"/>
    <w:rsid w:val="0011306C"/>
    <w:rsid w:val="00117F8F"/>
    <w:rsid w:val="00121B9F"/>
    <w:rsid w:val="001230DA"/>
    <w:rsid w:val="00137213"/>
    <w:rsid w:val="001435FA"/>
    <w:rsid w:val="0014403B"/>
    <w:rsid w:val="001457C8"/>
    <w:rsid w:val="0015624C"/>
    <w:rsid w:val="001643A1"/>
    <w:rsid w:val="00176832"/>
    <w:rsid w:val="001B0CF6"/>
    <w:rsid w:val="001D7980"/>
    <w:rsid w:val="001E0D8D"/>
    <w:rsid w:val="001E4B7E"/>
    <w:rsid w:val="001F26F2"/>
    <w:rsid w:val="001F4064"/>
    <w:rsid w:val="001F6BB0"/>
    <w:rsid w:val="00200F17"/>
    <w:rsid w:val="00201F46"/>
    <w:rsid w:val="00226325"/>
    <w:rsid w:val="0023267E"/>
    <w:rsid w:val="00236A6E"/>
    <w:rsid w:val="002379D5"/>
    <w:rsid w:val="00240F53"/>
    <w:rsid w:val="00244067"/>
    <w:rsid w:val="00265C28"/>
    <w:rsid w:val="00271B47"/>
    <w:rsid w:val="002A424A"/>
    <w:rsid w:val="002D15C9"/>
    <w:rsid w:val="002E4D33"/>
    <w:rsid w:val="00301EB3"/>
    <w:rsid w:val="00304EF9"/>
    <w:rsid w:val="00313C30"/>
    <w:rsid w:val="003340AF"/>
    <w:rsid w:val="00335392"/>
    <w:rsid w:val="00337C88"/>
    <w:rsid w:val="003428C3"/>
    <w:rsid w:val="00343406"/>
    <w:rsid w:val="00352AF8"/>
    <w:rsid w:val="00362E7B"/>
    <w:rsid w:val="0036451E"/>
    <w:rsid w:val="00382169"/>
    <w:rsid w:val="003C353F"/>
    <w:rsid w:val="003C4FA4"/>
    <w:rsid w:val="003D19FC"/>
    <w:rsid w:val="003D31A9"/>
    <w:rsid w:val="003D74D3"/>
    <w:rsid w:val="003E5C20"/>
    <w:rsid w:val="003F6FB2"/>
    <w:rsid w:val="004058AD"/>
    <w:rsid w:val="00405F06"/>
    <w:rsid w:val="00413FF2"/>
    <w:rsid w:val="00431DA2"/>
    <w:rsid w:val="00432AC0"/>
    <w:rsid w:val="00432C5E"/>
    <w:rsid w:val="004556E4"/>
    <w:rsid w:val="004639C1"/>
    <w:rsid w:val="00463FC5"/>
    <w:rsid w:val="004671F1"/>
    <w:rsid w:val="00474F38"/>
    <w:rsid w:val="00485025"/>
    <w:rsid w:val="004862F4"/>
    <w:rsid w:val="004972A5"/>
    <w:rsid w:val="004A0F81"/>
    <w:rsid w:val="004A4FC5"/>
    <w:rsid w:val="004B3534"/>
    <w:rsid w:val="004C0078"/>
    <w:rsid w:val="004C3B46"/>
    <w:rsid w:val="004C47CE"/>
    <w:rsid w:val="004C4DF4"/>
    <w:rsid w:val="004C644B"/>
    <w:rsid w:val="004D5385"/>
    <w:rsid w:val="004F1957"/>
    <w:rsid w:val="00510076"/>
    <w:rsid w:val="005152D1"/>
    <w:rsid w:val="00522819"/>
    <w:rsid w:val="00535A60"/>
    <w:rsid w:val="0054361B"/>
    <w:rsid w:val="00545668"/>
    <w:rsid w:val="00545FC2"/>
    <w:rsid w:val="0054740E"/>
    <w:rsid w:val="005525F0"/>
    <w:rsid w:val="00555918"/>
    <w:rsid w:val="0056010A"/>
    <w:rsid w:val="0056089F"/>
    <w:rsid w:val="00573792"/>
    <w:rsid w:val="00574878"/>
    <w:rsid w:val="00584458"/>
    <w:rsid w:val="00593972"/>
    <w:rsid w:val="00593B97"/>
    <w:rsid w:val="005A4D79"/>
    <w:rsid w:val="005B468B"/>
    <w:rsid w:val="005C2316"/>
    <w:rsid w:val="005D6D3E"/>
    <w:rsid w:val="005E3DA0"/>
    <w:rsid w:val="005E6B1B"/>
    <w:rsid w:val="005F651F"/>
    <w:rsid w:val="005F7BFA"/>
    <w:rsid w:val="0060260D"/>
    <w:rsid w:val="00614017"/>
    <w:rsid w:val="006261E4"/>
    <w:rsid w:val="0062656D"/>
    <w:rsid w:val="00632F52"/>
    <w:rsid w:val="00641435"/>
    <w:rsid w:val="006538F1"/>
    <w:rsid w:val="006539AD"/>
    <w:rsid w:val="00663006"/>
    <w:rsid w:val="00670690"/>
    <w:rsid w:val="006C1098"/>
    <w:rsid w:val="006D352A"/>
    <w:rsid w:val="006E41F3"/>
    <w:rsid w:val="006F1A8E"/>
    <w:rsid w:val="00702C59"/>
    <w:rsid w:val="007050D9"/>
    <w:rsid w:val="007235C6"/>
    <w:rsid w:val="00731C83"/>
    <w:rsid w:val="00741209"/>
    <w:rsid w:val="00752529"/>
    <w:rsid w:val="007605DA"/>
    <w:rsid w:val="00776722"/>
    <w:rsid w:val="0078003F"/>
    <w:rsid w:val="00792EC8"/>
    <w:rsid w:val="007A3661"/>
    <w:rsid w:val="007A6C4A"/>
    <w:rsid w:val="007C6172"/>
    <w:rsid w:val="007E4A7B"/>
    <w:rsid w:val="007F204D"/>
    <w:rsid w:val="007F273C"/>
    <w:rsid w:val="007F4496"/>
    <w:rsid w:val="00805468"/>
    <w:rsid w:val="00807736"/>
    <w:rsid w:val="00813C5D"/>
    <w:rsid w:val="00822DEC"/>
    <w:rsid w:val="00825199"/>
    <w:rsid w:val="00830785"/>
    <w:rsid w:val="00833D18"/>
    <w:rsid w:val="008423FE"/>
    <w:rsid w:val="0085309D"/>
    <w:rsid w:val="00857278"/>
    <w:rsid w:val="008648C2"/>
    <w:rsid w:val="008A0FB1"/>
    <w:rsid w:val="008C357F"/>
    <w:rsid w:val="008D75CA"/>
    <w:rsid w:val="008F22F1"/>
    <w:rsid w:val="008F6882"/>
    <w:rsid w:val="008F7AD7"/>
    <w:rsid w:val="009031B9"/>
    <w:rsid w:val="00926C56"/>
    <w:rsid w:val="00952E21"/>
    <w:rsid w:val="0096229E"/>
    <w:rsid w:val="00965189"/>
    <w:rsid w:val="00990D62"/>
    <w:rsid w:val="00991F09"/>
    <w:rsid w:val="00996C15"/>
    <w:rsid w:val="009A1E9C"/>
    <w:rsid w:val="009B03C8"/>
    <w:rsid w:val="009B3B5D"/>
    <w:rsid w:val="009B7F21"/>
    <w:rsid w:val="009C4C14"/>
    <w:rsid w:val="009D301A"/>
    <w:rsid w:val="009E0CE2"/>
    <w:rsid w:val="009E42E5"/>
    <w:rsid w:val="009F2990"/>
    <w:rsid w:val="009F3B6D"/>
    <w:rsid w:val="009F6591"/>
    <w:rsid w:val="00A068C0"/>
    <w:rsid w:val="00A13B32"/>
    <w:rsid w:val="00A20C55"/>
    <w:rsid w:val="00A23A53"/>
    <w:rsid w:val="00A568F2"/>
    <w:rsid w:val="00A64FF8"/>
    <w:rsid w:val="00A77B29"/>
    <w:rsid w:val="00A80142"/>
    <w:rsid w:val="00A93CEC"/>
    <w:rsid w:val="00AA2015"/>
    <w:rsid w:val="00AA7506"/>
    <w:rsid w:val="00AB5E2D"/>
    <w:rsid w:val="00AC1EBD"/>
    <w:rsid w:val="00AC25FC"/>
    <w:rsid w:val="00AC3A54"/>
    <w:rsid w:val="00AF47BB"/>
    <w:rsid w:val="00B02FC5"/>
    <w:rsid w:val="00B0326A"/>
    <w:rsid w:val="00B050FA"/>
    <w:rsid w:val="00B150B3"/>
    <w:rsid w:val="00B15FBF"/>
    <w:rsid w:val="00B22802"/>
    <w:rsid w:val="00B22A1E"/>
    <w:rsid w:val="00B26957"/>
    <w:rsid w:val="00B32DEC"/>
    <w:rsid w:val="00B50915"/>
    <w:rsid w:val="00B837DF"/>
    <w:rsid w:val="00B87384"/>
    <w:rsid w:val="00BB1513"/>
    <w:rsid w:val="00BB6A1D"/>
    <w:rsid w:val="00BC48D4"/>
    <w:rsid w:val="00BC7D73"/>
    <w:rsid w:val="00BD5A40"/>
    <w:rsid w:val="00BE71B8"/>
    <w:rsid w:val="00BF5AF8"/>
    <w:rsid w:val="00C124E1"/>
    <w:rsid w:val="00C275BC"/>
    <w:rsid w:val="00C325DE"/>
    <w:rsid w:val="00C3614E"/>
    <w:rsid w:val="00C42005"/>
    <w:rsid w:val="00C44F29"/>
    <w:rsid w:val="00C500D0"/>
    <w:rsid w:val="00C50B97"/>
    <w:rsid w:val="00C50E3A"/>
    <w:rsid w:val="00C54057"/>
    <w:rsid w:val="00C57686"/>
    <w:rsid w:val="00C70C0B"/>
    <w:rsid w:val="00C82A4F"/>
    <w:rsid w:val="00C842F1"/>
    <w:rsid w:val="00CA2581"/>
    <w:rsid w:val="00CC1C5D"/>
    <w:rsid w:val="00CC1F3F"/>
    <w:rsid w:val="00CD2806"/>
    <w:rsid w:val="00CD3BA0"/>
    <w:rsid w:val="00CE229E"/>
    <w:rsid w:val="00CF5613"/>
    <w:rsid w:val="00D0549A"/>
    <w:rsid w:val="00D25B69"/>
    <w:rsid w:val="00D276C2"/>
    <w:rsid w:val="00D3419E"/>
    <w:rsid w:val="00D674BD"/>
    <w:rsid w:val="00D74406"/>
    <w:rsid w:val="00D82BA4"/>
    <w:rsid w:val="00D83477"/>
    <w:rsid w:val="00D92ED2"/>
    <w:rsid w:val="00D96B58"/>
    <w:rsid w:val="00DA2039"/>
    <w:rsid w:val="00DB3421"/>
    <w:rsid w:val="00DB4FFB"/>
    <w:rsid w:val="00DB5425"/>
    <w:rsid w:val="00DD60D4"/>
    <w:rsid w:val="00DF72BC"/>
    <w:rsid w:val="00E06CC1"/>
    <w:rsid w:val="00E27189"/>
    <w:rsid w:val="00E529DF"/>
    <w:rsid w:val="00E63F30"/>
    <w:rsid w:val="00E733C9"/>
    <w:rsid w:val="00E75F85"/>
    <w:rsid w:val="00E87A50"/>
    <w:rsid w:val="00E91FD5"/>
    <w:rsid w:val="00EA1944"/>
    <w:rsid w:val="00EA39B2"/>
    <w:rsid w:val="00EC712C"/>
    <w:rsid w:val="00ED2AB7"/>
    <w:rsid w:val="00ED71AB"/>
    <w:rsid w:val="00EF3762"/>
    <w:rsid w:val="00F1339E"/>
    <w:rsid w:val="00F14FC5"/>
    <w:rsid w:val="00F20FC6"/>
    <w:rsid w:val="00F31DA3"/>
    <w:rsid w:val="00F34B07"/>
    <w:rsid w:val="00F44C49"/>
    <w:rsid w:val="00F47E3F"/>
    <w:rsid w:val="00F52037"/>
    <w:rsid w:val="00F52EDA"/>
    <w:rsid w:val="00F56AD6"/>
    <w:rsid w:val="00F75FA2"/>
    <w:rsid w:val="00FB0FBD"/>
    <w:rsid w:val="00FB1522"/>
    <w:rsid w:val="00FC6BF1"/>
    <w:rsid w:val="00FD166E"/>
    <w:rsid w:val="00FD527F"/>
    <w:rsid w:val="00FD6321"/>
    <w:rsid w:val="00FE262B"/>
    <w:rsid w:val="00FF026D"/>
    <w:rsid w:val="00FF60C5"/>
    <w:rsid w:val="00FF7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56A673"/>
  <w15:docId w15:val="{62B2B9FF-8EDB-46D9-8634-F6229C772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link w:val="Nagwek3Znak"/>
    <w:uiPriority w:val="9"/>
    <w:qFormat/>
    <w:rsid w:val="008530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7605DA"/>
    <w:pPr>
      <w:spacing w:after="180" w:line="200" w:lineRule="exact"/>
    </w:pPr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customStyle="1" w:styleId="StopkaZnak">
    <w:name w:val="Stopka Znak"/>
    <w:basedOn w:val="Domylnaczcionkaakapitu"/>
    <w:link w:val="Stopka"/>
    <w:uiPriority w:val="99"/>
    <w:rsid w:val="007605DA"/>
    <w:rPr>
      <w:rFonts w:eastAsia="Times New Roman" w:cs="Times New Roman"/>
      <w:noProof/>
      <w:color w:val="000000" w:themeColor="text1"/>
      <w:sz w:val="12"/>
      <w:szCs w:val="20"/>
      <w:lang w:val="en-US"/>
    </w:rPr>
  </w:style>
  <w:style w:type="character" w:styleId="Numerstrony">
    <w:name w:val="page number"/>
    <w:basedOn w:val="Domylnaczcionkaakapitu"/>
    <w:uiPriority w:val="99"/>
    <w:semiHidden/>
    <w:unhideWhenUsed/>
    <w:rsid w:val="007605DA"/>
    <w:rPr>
      <w:rFonts w:asciiTheme="minorHAnsi" w:hAnsiTheme="minorHAnsi" w:cs="Times New Roman"/>
      <w:color w:val="000000" w:themeColor="text1"/>
      <w:sz w:val="15"/>
    </w:rPr>
  </w:style>
  <w:style w:type="paragraph" w:customStyle="1" w:styleId="HeaderTitle">
    <w:name w:val="Header Title"/>
    <w:basedOn w:val="Normalny"/>
    <w:rsid w:val="007605DA"/>
    <w:pPr>
      <w:tabs>
        <w:tab w:val="center" w:pos="4513"/>
        <w:tab w:val="right" w:pos="9026"/>
      </w:tabs>
      <w:spacing w:after="180" w:line="300" w:lineRule="exact"/>
    </w:pPr>
    <w:rPr>
      <w:rFonts w:eastAsia="Times New Roman" w:cs="Times New Roman (Body CS)"/>
      <w:color w:val="000000" w:themeColor="text1"/>
      <w:sz w:val="21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7605DA"/>
    <w:pPr>
      <w:tabs>
        <w:tab w:val="center" w:pos="4513"/>
        <w:tab w:val="right" w:pos="9026"/>
      </w:tabs>
      <w:spacing w:after="0" w:line="240" w:lineRule="auto"/>
    </w:pPr>
    <w:rPr>
      <w:rFonts w:eastAsia="Times New Roman" w:cs="Times New Roman"/>
      <w:color w:val="000000" w:themeColor="text1"/>
      <w:sz w:val="21"/>
      <w:szCs w:val="20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rsid w:val="007605DA"/>
    <w:rPr>
      <w:rFonts w:eastAsia="Times New Roman" w:cs="Times New Roman"/>
      <w:color w:val="000000" w:themeColor="text1"/>
      <w:sz w:val="21"/>
      <w:szCs w:val="20"/>
      <w:lang w:val="en-US"/>
    </w:rPr>
  </w:style>
  <w:style w:type="character" w:styleId="Pogrubienie">
    <w:name w:val="Strong"/>
    <w:basedOn w:val="Domylnaczcionkaakapitu"/>
    <w:uiPriority w:val="22"/>
    <w:qFormat/>
    <w:rsid w:val="00574878"/>
    <w:rPr>
      <w:b/>
      <w:bCs/>
    </w:rPr>
  </w:style>
  <w:style w:type="paragraph" w:customStyle="1" w:styleId="Normalny1">
    <w:name w:val="Normalny1"/>
    <w:rsid w:val="00200F17"/>
    <w:pPr>
      <w:spacing w:after="0"/>
    </w:pPr>
    <w:rPr>
      <w:rFonts w:ascii="Arial" w:eastAsia="Arial" w:hAnsi="Arial" w:cs="Arial"/>
      <w:lang w:eastAsia="pl-PL"/>
    </w:rPr>
  </w:style>
  <w:style w:type="paragraph" w:styleId="Akapitzlist">
    <w:name w:val="List Paragraph"/>
    <w:basedOn w:val="Normalny"/>
    <w:uiPriority w:val="34"/>
    <w:qFormat/>
    <w:rsid w:val="00200F17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AA7506"/>
    <w:rPr>
      <w:color w:val="0000FF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85309D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801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8014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80142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801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80142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0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014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117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3C4FA4"/>
    <w:rPr>
      <w:color w:val="800080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13C3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13C30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13C30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271B47"/>
    <w:rPr>
      <w:i/>
      <w:i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D352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D352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D352A"/>
    <w:rPr>
      <w:vertAlign w:val="superscript"/>
    </w:rPr>
  </w:style>
  <w:style w:type="paragraph" w:styleId="Poprawka">
    <w:name w:val="Revision"/>
    <w:hidden/>
    <w:uiPriority w:val="99"/>
    <w:semiHidden/>
    <w:rsid w:val="0054740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5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80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7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arbon-pulse.com/393115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4E629B-BC3C-4251-99E2-FB3F2D2A7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491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Pwowa</dc:creator>
  <cp:lastModifiedBy>Pasikowska Katarzyna</cp:lastModifiedBy>
  <cp:revision>3</cp:revision>
  <dcterms:created xsi:type="dcterms:W3CDTF">2025-05-07T12:34:00Z</dcterms:created>
  <dcterms:modified xsi:type="dcterms:W3CDTF">2025-05-07T12:43:00Z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32bbfd526117bf091017bf3488e68872671d8dbb3daad4997be6eb245535b456</vt:lpwstr>
  </property>
</Properties>
</file>