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3434" w14:textId="11F6C4CB" w:rsidR="005C262D" w:rsidRPr="00705157" w:rsidRDefault="00C12733">
      <w:pPr>
        <w:jc w:val="right"/>
        <w:rPr>
          <w:rFonts w:cstheme="minorHAnsi"/>
          <w:color w:val="002060"/>
          <w:sz w:val="24"/>
        </w:rPr>
      </w:pPr>
      <w:r w:rsidRPr="00705157">
        <w:rPr>
          <w:rFonts w:cstheme="minorHAnsi"/>
          <w:color w:val="002060"/>
          <w:sz w:val="24"/>
        </w:rPr>
        <w:t xml:space="preserve">Warszawa, </w:t>
      </w:r>
      <w:r w:rsidR="00D20FDA">
        <w:rPr>
          <w:rFonts w:cstheme="minorHAnsi"/>
          <w:color w:val="002060"/>
          <w:sz w:val="24"/>
        </w:rPr>
        <w:t>styczeń</w:t>
      </w:r>
      <w:r w:rsidRPr="00705157">
        <w:rPr>
          <w:rFonts w:cstheme="minorHAnsi"/>
          <w:color w:val="002060"/>
          <w:sz w:val="24"/>
        </w:rPr>
        <w:t xml:space="preserve"> 202</w:t>
      </w:r>
      <w:r w:rsidR="00227E35">
        <w:rPr>
          <w:rFonts w:cstheme="minorHAnsi"/>
          <w:color w:val="002060"/>
          <w:sz w:val="24"/>
        </w:rPr>
        <w:t>5</w:t>
      </w:r>
    </w:p>
    <w:p w14:paraId="25468B0E" w14:textId="77777777" w:rsidR="005C262D" w:rsidRPr="00705157" w:rsidRDefault="005C262D">
      <w:pPr>
        <w:jc w:val="right"/>
        <w:rPr>
          <w:rFonts w:cstheme="minorHAnsi"/>
          <w:color w:val="002060"/>
          <w:sz w:val="24"/>
        </w:rPr>
      </w:pPr>
    </w:p>
    <w:p w14:paraId="01ACDC35" w14:textId="3970DDDF" w:rsidR="009076D4" w:rsidRDefault="00C829AE" w:rsidP="009076D4">
      <w:pPr>
        <w:spacing w:after="0"/>
        <w:jc w:val="center"/>
        <w:rPr>
          <w:b/>
          <w:color w:val="002060"/>
        </w:rPr>
      </w:pPr>
      <w:r>
        <w:rPr>
          <w:b/>
          <w:color w:val="002060"/>
        </w:rPr>
        <w:t>Wyniki COP w Baku</w:t>
      </w:r>
    </w:p>
    <w:p w14:paraId="0888A37E" w14:textId="77777777" w:rsidR="00D20FDA" w:rsidRDefault="00D20FDA" w:rsidP="009076D4">
      <w:pPr>
        <w:spacing w:after="0"/>
        <w:jc w:val="center"/>
        <w:rPr>
          <w:color w:val="002060"/>
        </w:rPr>
      </w:pPr>
    </w:p>
    <w:p w14:paraId="63692C54" w14:textId="1D7A62FC" w:rsidR="00C829AE" w:rsidRPr="00C829AE" w:rsidRDefault="00C829AE" w:rsidP="00C829AE">
      <w:pPr>
        <w:jc w:val="both"/>
        <w:rPr>
          <w:color w:val="002060"/>
        </w:rPr>
      </w:pPr>
      <w:r w:rsidRPr="00C829AE">
        <w:rPr>
          <w:color w:val="002060"/>
        </w:rPr>
        <w:t>Tegoroczny szczyt COP, który odbył się w Baku</w:t>
      </w:r>
      <w:bookmarkStart w:id="0" w:name="_GoBack"/>
      <w:bookmarkEnd w:id="0"/>
      <w:r w:rsidRPr="00C829AE">
        <w:rPr>
          <w:color w:val="002060"/>
        </w:rPr>
        <w:t xml:space="preserve"> w Azerbejdżanie, był jedną z trudniejszych Konferencji Stron Konwencji klimatycznej ostatnich lat. Wynikało to przede wszystkim z prac, jakie musiały zostać na tej sesji ustalone i przyjęte, a taką kluczową kwestią było określenie nowego, policzalnego celu finansowego NCQG (ang. </w:t>
      </w:r>
      <w:r w:rsidRPr="00C829AE">
        <w:rPr>
          <w:i/>
          <w:color w:val="002060"/>
        </w:rPr>
        <w:t xml:space="preserve">New </w:t>
      </w:r>
      <w:proofErr w:type="spellStart"/>
      <w:r w:rsidRPr="00C829AE">
        <w:rPr>
          <w:i/>
          <w:color w:val="002060"/>
        </w:rPr>
        <w:t>Collective</w:t>
      </w:r>
      <w:proofErr w:type="spellEnd"/>
      <w:r w:rsidRPr="00C829AE">
        <w:rPr>
          <w:i/>
          <w:color w:val="002060"/>
        </w:rPr>
        <w:t xml:space="preserve"> </w:t>
      </w:r>
      <w:proofErr w:type="spellStart"/>
      <w:r w:rsidRPr="00C829AE">
        <w:rPr>
          <w:i/>
          <w:color w:val="002060"/>
        </w:rPr>
        <w:t>Quantified</w:t>
      </w:r>
      <w:proofErr w:type="spellEnd"/>
      <w:r w:rsidRPr="00C829AE">
        <w:rPr>
          <w:i/>
          <w:color w:val="002060"/>
        </w:rPr>
        <w:t xml:space="preserve"> </w:t>
      </w:r>
      <w:proofErr w:type="spellStart"/>
      <w:r w:rsidRPr="00C829AE">
        <w:rPr>
          <w:i/>
          <w:color w:val="002060"/>
        </w:rPr>
        <w:t>Goal</w:t>
      </w:r>
      <w:proofErr w:type="spellEnd"/>
      <w:r w:rsidRPr="00C829AE">
        <w:rPr>
          <w:color w:val="002060"/>
        </w:rPr>
        <w:t xml:space="preserve">). </w:t>
      </w:r>
    </w:p>
    <w:p w14:paraId="44D34505" w14:textId="08547E66" w:rsidR="00C829AE" w:rsidRPr="00C829AE" w:rsidRDefault="00C829AE" w:rsidP="00C829AE">
      <w:pPr>
        <w:jc w:val="both"/>
        <w:rPr>
          <w:b/>
          <w:color w:val="002060"/>
        </w:rPr>
      </w:pPr>
      <w:r w:rsidRPr="00C829AE">
        <w:rPr>
          <w:b/>
          <w:color w:val="002060"/>
        </w:rPr>
        <w:t>Ostatecznie, przyjęty w ostatnich godzinach Konferencji cel opiera się na dwóch podstawowych elementach. Po pierwsze ustalono, że nowy cel finansowania działań związanych z klimatem będzie wynosił, co najmniej 300 mld USD rocznie do 2035 r. W realizacji te</w:t>
      </w:r>
      <w:r w:rsidR="00E12099">
        <w:rPr>
          <w:b/>
          <w:color w:val="002060"/>
        </w:rPr>
        <w:t>go celu znaczącą rolę będą</w:t>
      </w:r>
      <w:r w:rsidRPr="00C829AE">
        <w:rPr>
          <w:b/>
          <w:color w:val="002060"/>
        </w:rPr>
        <w:t xml:space="preserve"> mieć kraje rozwinięte, a pozostałe państwa zostały zachęcone do dobrowolnego udziału w zapewnianiu i mobilizacji finansów w zakresie tego celu. Wysokość tego celu nie jest powodem do zadowolenia żadnej ze stron, które go negocjowały (czyli państw rozwiniętych vs rozwijające się). Po drugie wezwano wszystkie państwa do zwiększenia skali wszystkich źródeł finansowania klimatu - publicznych i prywatnych - do co najmniej 1,3 bln USD rocznie do 2035 r.</w:t>
      </w:r>
    </w:p>
    <w:p w14:paraId="780B9E5D" w14:textId="77777777" w:rsidR="00C829AE" w:rsidRPr="00C829AE" w:rsidRDefault="00C829AE" w:rsidP="00C829AE">
      <w:pPr>
        <w:jc w:val="both"/>
        <w:rPr>
          <w:b/>
          <w:color w:val="002060"/>
        </w:rPr>
      </w:pPr>
      <w:r w:rsidRPr="00C829AE">
        <w:rPr>
          <w:b/>
          <w:color w:val="002060"/>
        </w:rPr>
        <w:t xml:space="preserve">Drugim ważnym punktem negocjacji na COP29 i dużym sukcesem konferencji w Baku, jest ustalenie zasad rozliczania mechanizmów rynkowych powstałych w ramach Artykułu 6 Porozumienia paryskiego. </w:t>
      </w:r>
    </w:p>
    <w:p w14:paraId="70C755E9" w14:textId="18CA6D19" w:rsidR="00C829AE" w:rsidRPr="00C829AE" w:rsidRDefault="00C829AE" w:rsidP="00C829AE">
      <w:pPr>
        <w:jc w:val="both"/>
        <w:rPr>
          <w:color w:val="002060"/>
        </w:rPr>
      </w:pPr>
      <w:r w:rsidRPr="00C829AE">
        <w:rPr>
          <w:color w:val="002060"/>
        </w:rPr>
        <w:t xml:space="preserve">Jest to szczególny sukces, ponieważ od kilku lat nie udawało się stronom porozumieć w tej kwestii. Prace te, zgodnie z Art. 6.2 Porozumienia, skupiały się między innymi na ustaleniu zasad, na podstawie których dochodziłoby do transferów redukcji emisji pomiędzy poszczególnymi Stronami. Jest to więc podstawa do międzynarodowego handlu emisjami. Wiele Stron, pomimo dotychczasowego braku pełnego zestawu takich zasad, już angażowało się w takie bilateralne działania (m.in. Japonia, Singapur i Szwajcaria). Dalsze wytyczne, przyjęte podczas COP w Baku z pewnością przyczynią się do wzmożenia podejmowanych już działań bilateralnych Stron. Ponadto już na początku COP29 udało się państwom przyjąć decyzje odnośnie funkcjonowania centralnego mechanizmu kredytowania redukcji emisji (ang. </w:t>
      </w:r>
      <w:r w:rsidRPr="00C829AE">
        <w:rPr>
          <w:i/>
          <w:color w:val="002060"/>
        </w:rPr>
        <w:t xml:space="preserve">Paris Agreement </w:t>
      </w:r>
      <w:proofErr w:type="spellStart"/>
      <w:r w:rsidRPr="00C829AE">
        <w:rPr>
          <w:i/>
          <w:color w:val="002060"/>
        </w:rPr>
        <w:t>Crediting</w:t>
      </w:r>
      <w:proofErr w:type="spellEnd"/>
      <w:r w:rsidRPr="00C829AE">
        <w:rPr>
          <w:i/>
          <w:color w:val="002060"/>
        </w:rPr>
        <w:t xml:space="preserve"> </w:t>
      </w:r>
      <w:proofErr w:type="spellStart"/>
      <w:r w:rsidRPr="00C829AE">
        <w:rPr>
          <w:i/>
          <w:color w:val="002060"/>
        </w:rPr>
        <w:t>Mechanism</w:t>
      </w:r>
      <w:proofErr w:type="spellEnd"/>
      <w:r w:rsidRPr="00C829AE">
        <w:rPr>
          <w:i/>
          <w:color w:val="002060"/>
        </w:rPr>
        <w:t>, PACM</w:t>
      </w:r>
      <w:r w:rsidRPr="00C829AE">
        <w:rPr>
          <w:color w:val="002060"/>
        </w:rPr>
        <w:t>), który ma zastąpić mechanizmy projektowe znane z Protokołu z Kioto (CDM i JI). Pełna implementacja artykułu 6 Porozumienia z Paryża, w tym z wykorzystaniem zasad zapewniających jego integralność środowiskową może z pewnością stać się przyczynkiem do dyskusji na temat dopuszczenia wykorzystania kredytów międzynarodowych w architekturze unijnych celów redukcyjnych, w tym w perspektywie do 2040 r.</w:t>
      </w:r>
    </w:p>
    <w:p w14:paraId="5A09F4FD" w14:textId="09CAAD55" w:rsidR="00C829AE" w:rsidRPr="00C829AE" w:rsidRDefault="00C829AE" w:rsidP="00C829AE">
      <w:pPr>
        <w:jc w:val="both"/>
        <w:rPr>
          <w:color w:val="002060"/>
        </w:rPr>
      </w:pPr>
      <w:r w:rsidRPr="00C829AE">
        <w:rPr>
          <w:color w:val="002060"/>
        </w:rPr>
        <w:t>Na COP państwom udało się porozumieć, także w nast</w:t>
      </w:r>
      <w:r>
        <w:rPr>
          <w:color w:val="002060"/>
        </w:rPr>
        <w:t>ępujących kwestiach, tj. m.in.:</w:t>
      </w:r>
    </w:p>
    <w:p w14:paraId="4B08802D" w14:textId="77777777" w:rsidR="00C829AE" w:rsidRPr="00C829AE" w:rsidRDefault="00C829AE" w:rsidP="00C829AE">
      <w:pPr>
        <w:pStyle w:val="Akapitzlist"/>
        <w:numPr>
          <w:ilvl w:val="0"/>
          <w:numId w:val="2"/>
        </w:numPr>
        <w:jc w:val="both"/>
        <w:rPr>
          <w:color w:val="002060"/>
        </w:rPr>
      </w:pPr>
      <w:r w:rsidRPr="00C829AE">
        <w:rPr>
          <w:color w:val="002060"/>
        </w:rPr>
        <w:t xml:space="preserve">dalszych pracach nad globalnym celem adaptacyjnym (na COP29 zapoczątkowano m.in. Baku Adaptation </w:t>
      </w:r>
      <w:proofErr w:type="spellStart"/>
      <w:r w:rsidRPr="00C829AE">
        <w:rPr>
          <w:color w:val="002060"/>
        </w:rPr>
        <w:t>Roadmap</w:t>
      </w:r>
      <w:proofErr w:type="spellEnd"/>
      <w:r w:rsidRPr="00C829AE">
        <w:rPr>
          <w:color w:val="002060"/>
        </w:rPr>
        <w:t xml:space="preserve"> i dialog wysokiego szczebla na temat adaptacji);</w:t>
      </w:r>
    </w:p>
    <w:p w14:paraId="202A1844" w14:textId="77777777" w:rsidR="00C829AE" w:rsidRPr="00C829AE" w:rsidRDefault="00C829AE" w:rsidP="00C829AE">
      <w:pPr>
        <w:pStyle w:val="Akapitzlist"/>
        <w:numPr>
          <w:ilvl w:val="0"/>
          <w:numId w:val="2"/>
        </w:numPr>
        <w:jc w:val="both"/>
        <w:rPr>
          <w:color w:val="002060"/>
        </w:rPr>
      </w:pPr>
      <w:r w:rsidRPr="00C829AE">
        <w:rPr>
          <w:color w:val="002060"/>
        </w:rPr>
        <w:t xml:space="preserve">decyzji </w:t>
      </w:r>
      <w:proofErr w:type="spellStart"/>
      <w:r w:rsidRPr="00C829AE">
        <w:rPr>
          <w:color w:val="002060"/>
        </w:rPr>
        <w:t>ws</w:t>
      </w:r>
      <w:proofErr w:type="spellEnd"/>
      <w:r w:rsidRPr="00C829AE">
        <w:rPr>
          <w:color w:val="002060"/>
        </w:rPr>
        <w:t>. funkcjonowania Funduszu Strat i Szkód, dzięki którym możliwe będzie rozpoczęcie wypłacania środków z tego funduszu;</w:t>
      </w:r>
    </w:p>
    <w:p w14:paraId="09F19AFC" w14:textId="77777777" w:rsidR="00C829AE" w:rsidRPr="00C829AE" w:rsidRDefault="00C829AE" w:rsidP="00C829AE">
      <w:pPr>
        <w:pStyle w:val="Akapitzlist"/>
        <w:numPr>
          <w:ilvl w:val="0"/>
          <w:numId w:val="2"/>
        </w:numPr>
        <w:jc w:val="both"/>
        <w:rPr>
          <w:color w:val="002060"/>
        </w:rPr>
      </w:pPr>
      <w:r w:rsidRPr="00C829AE">
        <w:rPr>
          <w:color w:val="002060"/>
        </w:rPr>
        <w:lastRenderedPageBreak/>
        <w:t xml:space="preserve">programu prac w zakresie </w:t>
      </w:r>
      <w:proofErr w:type="spellStart"/>
      <w:r w:rsidRPr="00C829AE">
        <w:rPr>
          <w:color w:val="002060"/>
        </w:rPr>
        <w:t>mitygacji</w:t>
      </w:r>
      <w:proofErr w:type="spellEnd"/>
      <w:r w:rsidRPr="00C829AE">
        <w:rPr>
          <w:color w:val="002060"/>
        </w:rPr>
        <w:t xml:space="preserve"> (</w:t>
      </w:r>
      <w:proofErr w:type="spellStart"/>
      <w:r w:rsidRPr="00C829AE">
        <w:rPr>
          <w:color w:val="002060"/>
        </w:rPr>
        <w:t>Mitigation</w:t>
      </w:r>
      <w:proofErr w:type="spellEnd"/>
      <w:r w:rsidRPr="00C829AE">
        <w:rPr>
          <w:color w:val="002060"/>
        </w:rPr>
        <w:t xml:space="preserve"> </w:t>
      </w:r>
      <w:proofErr w:type="spellStart"/>
      <w:r w:rsidRPr="00C829AE">
        <w:rPr>
          <w:color w:val="002060"/>
        </w:rPr>
        <w:t>Work</w:t>
      </w:r>
      <w:proofErr w:type="spellEnd"/>
      <w:r w:rsidRPr="00C829AE">
        <w:rPr>
          <w:color w:val="002060"/>
        </w:rPr>
        <w:t xml:space="preserve"> </w:t>
      </w:r>
      <w:proofErr w:type="spellStart"/>
      <w:r w:rsidRPr="00C829AE">
        <w:rPr>
          <w:color w:val="002060"/>
        </w:rPr>
        <w:t>Programme</w:t>
      </w:r>
      <w:proofErr w:type="spellEnd"/>
      <w:r w:rsidRPr="00C829AE">
        <w:rPr>
          <w:color w:val="002060"/>
        </w:rPr>
        <w:t xml:space="preserve">, MWP), w którym zabrakło jednak mocnych </w:t>
      </w:r>
      <w:proofErr w:type="spellStart"/>
      <w:r w:rsidRPr="00C829AE">
        <w:rPr>
          <w:color w:val="002060"/>
        </w:rPr>
        <w:t>odwołań</w:t>
      </w:r>
      <w:proofErr w:type="spellEnd"/>
      <w:r w:rsidRPr="00C829AE">
        <w:rPr>
          <w:color w:val="002060"/>
        </w:rPr>
        <w:t xml:space="preserve"> do wyników globalnego przeglądu zakończonego na COP28 w 2023 r.;</w:t>
      </w:r>
    </w:p>
    <w:p w14:paraId="0CC184BE" w14:textId="77777777" w:rsidR="00C829AE" w:rsidRPr="00C829AE" w:rsidRDefault="00C829AE" w:rsidP="00C829AE">
      <w:pPr>
        <w:jc w:val="both"/>
        <w:rPr>
          <w:color w:val="002060"/>
        </w:rPr>
      </w:pPr>
      <w:r w:rsidRPr="00C829AE">
        <w:rPr>
          <w:color w:val="002060"/>
        </w:rPr>
        <w:t xml:space="preserve">Powstał  również nowy portal internetowy (ang. </w:t>
      </w:r>
      <w:proofErr w:type="spellStart"/>
      <w:r w:rsidRPr="00C829AE">
        <w:rPr>
          <w:i/>
          <w:color w:val="002060"/>
        </w:rPr>
        <w:t>Sharm</w:t>
      </w:r>
      <w:proofErr w:type="spellEnd"/>
      <w:r w:rsidRPr="00C829AE">
        <w:rPr>
          <w:i/>
          <w:color w:val="002060"/>
        </w:rPr>
        <w:t xml:space="preserve"> el-</w:t>
      </w:r>
      <w:proofErr w:type="spellStart"/>
      <w:r w:rsidRPr="00C829AE">
        <w:rPr>
          <w:i/>
          <w:color w:val="002060"/>
        </w:rPr>
        <w:t>Sheikh</w:t>
      </w:r>
      <w:proofErr w:type="spellEnd"/>
      <w:r w:rsidRPr="00C829AE">
        <w:rPr>
          <w:i/>
          <w:color w:val="002060"/>
        </w:rPr>
        <w:t xml:space="preserve"> online portal</w:t>
      </w:r>
      <w:r w:rsidRPr="00C829AE">
        <w:rPr>
          <w:color w:val="002060"/>
        </w:rPr>
        <w:t>) w celu wymiany informacji na temat projektów, inicjatyw i polityk zwiększających możliwości wdrażania działań w dziedzinie klimatu dążących do rozwiązania kwestii związanych z rolnictwem i bezpieczeństwem żywnościowym.</w:t>
      </w:r>
    </w:p>
    <w:p w14:paraId="771DDC58" w14:textId="77777777" w:rsidR="00C829AE" w:rsidRPr="00C829AE" w:rsidRDefault="00C829AE" w:rsidP="00C829AE">
      <w:pPr>
        <w:jc w:val="both"/>
        <w:rPr>
          <w:b/>
          <w:color w:val="002060"/>
        </w:rPr>
      </w:pPr>
      <w:r w:rsidRPr="00C829AE">
        <w:rPr>
          <w:b/>
          <w:color w:val="002060"/>
        </w:rPr>
        <w:t xml:space="preserve">Niemniej, w Baku nie udało się przyjąć kilku ważnych decyzji, priorytetowych dla niektórych państw. Największym niepowodzeniem jest brak kompromisu i decyzji w sprawie wdrożenia wyników globalnego przeglądu Porozumienia paryskiego (ang. </w:t>
      </w:r>
      <w:r w:rsidRPr="00C829AE">
        <w:rPr>
          <w:b/>
          <w:i/>
          <w:color w:val="002060"/>
        </w:rPr>
        <w:t xml:space="preserve">Global </w:t>
      </w:r>
      <w:proofErr w:type="spellStart"/>
      <w:r w:rsidRPr="00C829AE">
        <w:rPr>
          <w:b/>
          <w:i/>
          <w:color w:val="002060"/>
        </w:rPr>
        <w:t>Stocktake</w:t>
      </w:r>
      <w:proofErr w:type="spellEnd"/>
      <w:r w:rsidRPr="00C829AE">
        <w:rPr>
          <w:b/>
          <w:i/>
          <w:color w:val="002060"/>
        </w:rPr>
        <w:t>, GST</w:t>
      </w:r>
      <w:r w:rsidRPr="00C829AE">
        <w:rPr>
          <w:b/>
          <w:color w:val="002060"/>
        </w:rPr>
        <w:t xml:space="preserve">). </w:t>
      </w:r>
    </w:p>
    <w:p w14:paraId="4F9B2529" w14:textId="77777777" w:rsidR="00C829AE" w:rsidRPr="00C829AE" w:rsidRDefault="00C829AE" w:rsidP="00C829AE">
      <w:pPr>
        <w:jc w:val="both"/>
        <w:rPr>
          <w:color w:val="002060"/>
        </w:rPr>
      </w:pPr>
      <w:r w:rsidRPr="00C829AE">
        <w:rPr>
          <w:color w:val="002060"/>
        </w:rPr>
        <w:t>Państwa nie były też w stanie rozpatrzeć sprawozdania z corocznego, globalnego dialogu dotyczącego GST, który ma na celu ułatwianie wymiany wiedzy i dobrych praktyk na temat tego, w jaki sposób wyniki przeglądu wpływają na przygotowanie kolejnych, krajowo uwarunkowanych wkładów Stron do Porozumienia paryskiego (</w:t>
      </w:r>
      <w:proofErr w:type="spellStart"/>
      <w:r w:rsidRPr="00C829AE">
        <w:rPr>
          <w:color w:val="002060"/>
        </w:rPr>
        <w:t>NDCs</w:t>
      </w:r>
      <w:proofErr w:type="spellEnd"/>
      <w:r w:rsidRPr="00C829AE">
        <w:rPr>
          <w:color w:val="002060"/>
        </w:rPr>
        <w:t xml:space="preserve">). Podczas COP29 Strony nie były w stanie porozumieć się również w kwestiach sprawiedliwej transformacji i ustalenia dalszych prac w tym zakresie. Większość spraw, w których nie udało się podjąć decyzji w Baku, będzie negocjowana dalej podczas najbliższej sesji w czerwcu w Bonn w Niemczech lub na kolejnej Konferencji Klimatycznej COP30, zaplanowanej na koniec 2025 r. w </w:t>
      </w:r>
      <w:proofErr w:type="spellStart"/>
      <w:r w:rsidRPr="00C829AE">
        <w:rPr>
          <w:color w:val="002060"/>
        </w:rPr>
        <w:t>Belém</w:t>
      </w:r>
      <w:proofErr w:type="spellEnd"/>
      <w:r w:rsidRPr="00C829AE">
        <w:rPr>
          <w:color w:val="002060"/>
        </w:rPr>
        <w:t xml:space="preserve"> w Brazylii.</w:t>
      </w:r>
    </w:p>
    <w:p w14:paraId="6C42AA2B" w14:textId="17AC7765" w:rsidR="00C829AE" w:rsidRPr="00C829AE" w:rsidRDefault="00C829AE" w:rsidP="00C829AE">
      <w:pPr>
        <w:jc w:val="both"/>
        <w:rPr>
          <w:color w:val="002060"/>
        </w:rPr>
      </w:pPr>
      <w:r w:rsidRPr="00C829AE">
        <w:rPr>
          <w:color w:val="002060"/>
        </w:rPr>
        <w:t xml:space="preserve">Wartym odnotowania jest przedstawienie przez kilkanaście państw (w tym m.in. UE, Gujana, Azerbejdżan, Niemcy, Holandia) pierwszych, dwuletnich raportów transparentności (ang. </w:t>
      </w:r>
      <w:proofErr w:type="spellStart"/>
      <w:r w:rsidRPr="00C829AE">
        <w:rPr>
          <w:i/>
          <w:color w:val="002060"/>
        </w:rPr>
        <w:t>Biennial</w:t>
      </w:r>
      <w:proofErr w:type="spellEnd"/>
      <w:r w:rsidRPr="00C829AE">
        <w:rPr>
          <w:i/>
          <w:color w:val="002060"/>
        </w:rPr>
        <w:t xml:space="preserve"> </w:t>
      </w:r>
      <w:proofErr w:type="spellStart"/>
      <w:r w:rsidRPr="00C829AE">
        <w:rPr>
          <w:i/>
          <w:color w:val="002060"/>
        </w:rPr>
        <w:t>Transparency</w:t>
      </w:r>
      <w:proofErr w:type="spellEnd"/>
      <w:r w:rsidRPr="00C829AE">
        <w:rPr>
          <w:i/>
          <w:color w:val="002060"/>
        </w:rPr>
        <w:t xml:space="preserve"> Report, BTR</w:t>
      </w:r>
      <w:r w:rsidRPr="00C829AE">
        <w:rPr>
          <w:color w:val="002060"/>
        </w:rPr>
        <w:t xml:space="preserve">), które są elementem nowego, wzmocnionego systemu dokumentowania w przejrzysty sposób działań (ang. </w:t>
      </w:r>
      <w:proofErr w:type="spellStart"/>
      <w:r w:rsidRPr="00C829AE">
        <w:rPr>
          <w:i/>
          <w:color w:val="002060"/>
        </w:rPr>
        <w:t>Enhanced</w:t>
      </w:r>
      <w:proofErr w:type="spellEnd"/>
      <w:r w:rsidRPr="00C829AE">
        <w:rPr>
          <w:i/>
          <w:color w:val="002060"/>
        </w:rPr>
        <w:t xml:space="preserve"> </w:t>
      </w:r>
      <w:proofErr w:type="spellStart"/>
      <w:r w:rsidRPr="00C829AE">
        <w:rPr>
          <w:i/>
          <w:color w:val="002060"/>
        </w:rPr>
        <w:t>Transparency</w:t>
      </w:r>
      <w:proofErr w:type="spellEnd"/>
      <w:r w:rsidRPr="00C829AE">
        <w:rPr>
          <w:i/>
          <w:color w:val="002060"/>
        </w:rPr>
        <w:t xml:space="preserve"> Framework, ETF</w:t>
      </w:r>
      <w:r w:rsidRPr="00C829AE">
        <w:rPr>
          <w:color w:val="002060"/>
        </w:rPr>
        <w:t>) ustalonych w ramach Porozumienia paryskiego.  W pierwszych raportach BTR, które mają być złożone do końca tego roku, państwa mają przedstawić m.in. informacje na temat działań podejmowanych  w celu złagodzenia zmian klimatu i dostosowania się do nich. Polska finalizuje obecnie swój pierwszy raport BTR, którego p</w:t>
      </w:r>
      <w:r w:rsidR="00700EFA">
        <w:rPr>
          <w:color w:val="002060"/>
        </w:rPr>
        <w:t xml:space="preserve">rojekt opracowany został przez </w:t>
      </w:r>
      <w:r w:rsidR="00700EFA" w:rsidRPr="00700EFA">
        <w:rPr>
          <w:color w:val="002060"/>
        </w:rPr>
        <w:t xml:space="preserve">Krajowy Ośrodek Bilansowania i Zarządzania Emisjami </w:t>
      </w:r>
      <w:r w:rsidR="00700EFA">
        <w:rPr>
          <w:color w:val="002060"/>
        </w:rPr>
        <w:t>w Instytucie Ochrony Środowiska – Państwowym Instytucie Badawczym</w:t>
      </w:r>
      <w:r w:rsidRPr="00C829AE">
        <w:rPr>
          <w:color w:val="002060"/>
        </w:rPr>
        <w:t xml:space="preserve"> i po przyjęciu przez Radę Ministrów zostanie złożony do Sekretariatu Konwencji.</w:t>
      </w:r>
    </w:p>
    <w:p w14:paraId="607D472D" w14:textId="18312C92" w:rsidR="00C829AE" w:rsidRPr="00C829AE" w:rsidRDefault="00C829AE" w:rsidP="00C829AE">
      <w:pPr>
        <w:jc w:val="both"/>
        <w:rPr>
          <w:color w:val="002060"/>
        </w:rPr>
      </w:pPr>
      <w:r w:rsidRPr="00C829AE">
        <w:rPr>
          <w:color w:val="002060"/>
        </w:rPr>
        <w:t xml:space="preserve">Międzynarodowe dyskusje klimatyczne skupią się w najbliższym czasie z pewnością na przedstawianiu przez państwa ich nowych wkładów do Porozumienia paryskiego (ang. </w:t>
      </w:r>
      <w:proofErr w:type="spellStart"/>
      <w:r w:rsidRPr="00C829AE">
        <w:rPr>
          <w:i/>
          <w:color w:val="002060"/>
        </w:rPr>
        <w:t>Nationally</w:t>
      </w:r>
      <w:proofErr w:type="spellEnd"/>
      <w:r w:rsidRPr="00C829AE">
        <w:rPr>
          <w:i/>
          <w:color w:val="002060"/>
        </w:rPr>
        <w:t xml:space="preserve"> </w:t>
      </w:r>
      <w:proofErr w:type="spellStart"/>
      <w:r w:rsidRPr="00C829AE">
        <w:rPr>
          <w:i/>
          <w:color w:val="002060"/>
        </w:rPr>
        <w:t>Determined</w:t>
      </w:r>
      <w:proofErr w:type="spellEnd"/>
      <w:r w:rsidRPr="00C829AE">
        <w:rPr>
          <w:i/>
          <w:color w:val="002060"/>
        </w:rPr>
        <w:t xml:space="preserve"> </w:t>
      </w:r>
      <w:proofErr w:type="spellStart"/>
      <w:r w:rsidRPr="00C829AE">
        <w:rPr>
          <w:i/>
          <w:color w:val="002060"/>
        </w:rPr>
        <w:t>Contributions</w:t>
      </w:r>
      <w:proofErr w:type="spellEnd"/>
      <w:r w:rsidRPr="00C829AE">
        <w:rPr>
          <w:i/>
          <w:color w:val="002060"/>
        </w:rPr>
        <w:t xml:space="preserve">, </w:t>
      </w:r>
      <w:proofErr w:type="spellStart"/>
      <w:r w:rsidRPr="00C829AE">
        <w:rPr>
          <w:i/>
          <w:color w:val="002060"/>
        </w:rPr>
        <w:t>NDCs</w:t>
      </w:r>
      <w:proofErr w:type="spellEnd"/>
      <w:r w:rsidRPr="00C829AE">
        <w:rPr>
          <w:color w:val="002060"/>
        </w:rPr>
        <w:t xml:space="preserve">), które powinny dotyczyć działań po 2030 r. Termin przekazywania nowych </w:t>
      </w:r>
      <w:proofErr w:type="spellStart"/>
      <w:r w:rsidRPr="00C829AE">
        <w:rPr>
          <w:color w:val="002060"/>
        </w:rPr>
        <w:t>NDCs</w:t>
      </w:r>
      <w:proofErr w:type="spellEnd"/>
      <w:r w:rsidRPr="00C829AE">
        <w:rPr>
          <w:color w:val="002060"/>
        </w:rPr>
        <w:t xml:space="preserve"> upływa 28 lutego 2025 r. Nie jest to jednak termin bezwzględnie wymagany, wiąże się z koniecznością udostępnienia informacji do raportu podsumowującego, który ma przygotować sekretariat Konwencji klimatycznej. W praktyce zgłoszenia stron obejmujące nowe </w:t>
      </w:r>
      <w:proofErr w:type="spellStart"/>
      <w:r w:rsidRPr="00C829AE">
        <w:rPr>
          <w:color w:val="002060"/>
        </w:rPr>
        <w:t>NDCs</w:t>
      </w:r>
      <w:proofErr w:type="spellEnd"/>
      <w:r w:rsidRPr="00C829AE">
        <w:rPr>
          <w:color w:val="002060"/>
        </w:rPr>
        <w:t xml:space="preserve"> będą wpływały do sekretariatu UNFCCC przez cały rok. Podczas COP29 jedynie Brazylia (przyszłoroczny gospodarz COP30) prz</w:t>
      </w:r>
      <w:r>
        <w:rPr>
          <w:color w:val="002060"/>
        </w:rPr>
        <w:t>edstawiła swoje nowe NDC</w:t>
      </w:r>
      <w:r>
        <w:rPr>
          <w:rStyle w:val="Odwoanieprzypisudolnego"/>
          <w:color w:val="002060"/>
        </w:rPr>
        <w:footnoteReference w:id="1"/>
      </w:r>
      <w:r>
        <w:rPr>
          <w:rStyle w:val="Odwoanieprzypisudolnego"/>
          <w:color w:val="002060"/>
        </w:rPr>
        <w:footnoteReference w:id="2"/>
      </w:r>
      <w:r>
        <w:rPr>
          <w:color w:val="002060"/>
        </w:rPr>
        <w:t>.</w:t>
      </w:r>
      <w:r w:rsidRPr="00C829AE">
        <w:rPr>
          <w:color w:val="002060"/>
        </w:rPr>
        <w:t xml:space="preserve"> Wielka Brytania przedstawiła w Baku nie NDC, ale swój nowy cel </w:t>
      </w:r>
      <w:r w:rsidRPr="00C829AE">
        <w:rPr>
          <w:color w:val="002060"/>
        </w:rPr>
        <w:lastRenderedPageBreak/>
        <w:t xml:space="preserve">redukcyjny – do 2035 r. zamierza zredukować emisje o 81 % w stosunku do 1990 r.  Natomiast Meksyk ogłosił zmiany w swoim dotychczasowym NDC (do 2030 r.) zwiększając cel z 35% do 45%. Najbliższe tygodnie przyniosą szeroko zakrojone dyskusje międzynarodowe skupione m.in. na budowaniu woli politycznej dla zapewnienia odpowiedniego poziomu ambicji działań, jakie poszczególne państwa powinny określić w swoich nowych </w:t>
      </w:r>
      <w:proofErr w:type="spellStart"/>
      <w:r w:rsidRPr="00C829AE">
        <w:rPr>
          <w:color w:val="002060"/>
        </w:rPr>
        <w:t>NDCs</w:t>
      </w:r>
      <w:proofErr w:type="spellEnd"/>
      <w:r w:rsidRPr="00C829AE">
        <w:rPr>
          <w:color w:val="002060"/>
        </w:rPr>
        <w:t>. To będzie miało również wpływ na temat rozmów dotyczących celu redukcyjnego UE na 2040 r. na arenie unijnej.</w:t>
      </w:r>
    </w:p>
    <w:p w14:paraId="0F153026" w14:textId="2C4A58F6" w:rsidR="00C829AE" w:rsidRPr="00C829AE" w:rsidRDefault="00C829AE" w:rsidP="00C829AE">
      <w:pPr>
        <w:jc w:val="both"/>
        <w:rPr>
          <w:color w:val="002060"/>
        </w:rPr>
      </w:pPr>
      <w:r w:rsidRPr="00C829AE">
        <w:rPr>
          <w:color w:val="002060"/>
        </w:rPr>
        <w:t xml:space="preserve">W kontekście procesu przedstawiania nowych </w:t>
      </w:r>
      <w:proofErr w:type="spellStart"/>
      <w:r w:rsidRPr="00C829AE">
        <w:rPr>
          <w:color w:val="002060"/>
        </w:rPr>
        <w:t>NDCs</w:t>
      </w:r>
      <w:proofErr w:type="spellEnd"/>
      <w:r w:rsidRPr="00C829AE">
        <w:rPr>
          <w:color w:val="002060"/>
        </w:rPr>
        <w:t xml:space="preserve"> w przyszłym roku, jak i dla procesu UNFCCC i międzynarodowych wysiłków na rzecz przeciwdziałaniom zmianom klimatu, istotna jest obecna sytuacja geopolityczna na świecie, w szczególności zaś wyniki listopadowych wyborów prezydenckich w USA, co miało też swój wydźwięk podczas rozmów prowadzonych w Azerbejdżanie. Donald </w:t>
      </w:r>
      <w:proofErr w:type="spellStart"/>
      <w:r w:rsidRPr="00C829AE">
        <w:rPr>
          <w:color w:val="002060"/>
        </w:rPr>
        <w:t>Trump</w:t>
      </w:r>
      <w:proofErr w:type="spellEnd"/>
      <w:r w:rsidRPr="00C829AE">
        <w:rPr>
          <w:color w:val="002060"/>
        </w:rPr>
        <w:t>, który już raz wycofał Stany Zjednoczone z Porozumienia paryskiego (miało to miejsce w 2019 r.), wielokrotnie w swojej kampanii zapowiadał, że zrobi to ponownie po obję</w:t>
      </w:r>
      <w:r>
        <w:rPr>
          <w:color w:val="002060"/>
        </w:rPr>
        <w:t xml:space="preserve">ciu stanowiska Prezydenta USA. </w:t>
      </w:r>
    </w:p>
    <w:p w14:paraId="3AE4D821" w14:textId="77777777" w:rsidR="00C829AE" w:rsidRPr="00C829AE" w:rsidRDefault="00C829AE" w:rsidP="00C829AE">
      <w:pPr>
        <w:jc w:val="both"/>
        <w:rPr>
          <w:b/>
          <w:color w:val="002060"/>
        </w:rPr>
      </w:pPr>
      <w:r w:rsidRPr="00C829AE">
        <w:rPr>
          <w:b/>
          <w:color w:val="002060"/>
        </w:rPr>
        <w:t>Nieobecność Stanów Zjednoczonych w realizacji celów Porozumienia paryskiego wymusiłaby na innych krajach realizację dodatkowych wysiłków redukcyjnych. Brak Stanów Zjednoczonych w tych globalnych wysiłkach może zatem bardzo poważnie zagrozić realizacji celów Porozumienia paryskiego.</w:t>
      </w:r>
    </w:p>
    <w:p w14:paraId="7914C109" w14:textId="06ECBDE6" w:rsidR="00C829AE" w:rsidRDefault="00C829AE" w:rsidP="00C829AE">
      <w:pPr>
        <w:jc w:val="both"/>
        <w:rPr>
          <w:color w:val="002060"/>
        </w:rPr>
      </w:pPr>
      <w:r w:rsidRPr="00C829AE">
        <w:rPr>
          <w:color w:val="002060"/>
        </w:rPr>
        <w:t>Negocjacje prowadzone podczas COP29 w Baku były również okazją do zacieśnia</w:t>
      </w:r>
      <w:r w:rsidR="007A0979">
        <w:rPr>
          <w:color w:val="002060"/>
        </w:rPr>
        <w:t>nia</w:t>
      </w:r>
      <w:r w:rsidRPr="00C829AE">
        <w:rPr>
          <w:color w:val="002060"/>
        </w:rPr>
        <w:t xml:space="preserve"> międzynarodowej współpracy w obszarach związanych z działaniami na rzecz klimatu. Podczas Konferencji podpisano kilka inicjatyw i deklaracji, tym w zakresie wodoru, redukcji emisji z metanu pochodzącego z odpadów organicznych, czy też magazynowania energii i rozbudowy sieci energetycznych, do któryc</w:t>
      </w:r>
      <w:r>
        <w:rPr>
          <w:color w:val="002060"/>
        </w:rPr>
        <w:t>h przystąpiła również Polska</w:t>
      </w:r>
      <w:r>
        <w:rPr>
          <w:rStyle w:val="Odwoanieprzypisudolnego"/>
          <w:color w:val="002060"/>
        </w:rPr>
        <w:footnoteReference w:id="3"/>
      </w:r>
      <w:r>
        <w:rPr>
          <w:color w:val="002060"/>
        </w:rPr>
        <w:t>.</w:t>
      </w:r>
    </w:p>
    <w:sectPr w:rsidR="00C829AE">
      <w:headerReference w:type="default" r:id="rId8"/>
      <w:footerReference w:type="even" r:id="rId9"/>
      <w:footerReference w:type="default" r:id="rId10"/>
      <w:headerReference w:type="first" r:id="rId11"/>
      <w:pgSz w:w="11906" w:h="16838"/>
      <w:pgMar w:top="1985" w:right="1418" w:bottom="1418" w:left="1418" w:header="709" w:footer="539"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40956" w14:textId="77777777" w:rsidR="00646388" w:rsidRDefault="00646388">
      <w:pPr>
        <w:spacing w:after="0" w:line="240" w:lineRule="auto"/>
      </w:pPr>
      <w:r>
        <w:separator/>
      </w:r>
    </w:p>
  </w:endnote>
  <w:endnote w:type="continuationSeparator" w:id="0">
    <w:p w14:paraId="276FD489" w14:textId="77777777" w:rsidR="00646388" w:rsidRDefault="0064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7B4ED" w14:textId="77777777" w:rsidR="005C262D" w:rsidRDefault="00C12733">
    <w:pPr>
      <w:pStyle w:val="Stopka"/>
      <w:ind w:right="360"/>
    </w:pPr>
    <w:r>
      <w:rPr>
        <w:noProof/>
        <w:lang w:val="pl-PL" w:eastAsia="pl-PL"/>
      </w:rPr>
      <mc:AlternateContent>
        <mc:Choice Requires="wps">
          <w:drawing>
            <wp:anchor distT="0" distB="0" distL="0" distR="0" simplePos="0" relativeHeight="6" behindDoc="1" locked="0" layoutInCell="0" allowOverlap="1" wp14:anchorId="01E89BB7" wp14:editId="53AA63B7">
              <wp:simplePos x="0" y="0"/>
              <wp:positionH relativeFrom="margin">
                <wp:align>right</wp:align>
              </wp:positionH>
              <wp:positionV relativeFrom="paragraph">
                <wp:posOffset>635</wp:posOffset>
              </wp:positionV>
              <wp:extent cx="14605" cy="14605"/>
              <wp:effectExtent l="0" t="0" r="0" b="0"/>
              <wp:wrapNone/>
              <wp:docPr id="2" name="Ramka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5E1BCC50" w14:textId="77777777" w:rsidR="005C262D" w:rsidRDefault="00C12733">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rect w14:anchorId="01E89BB7" id="Ramka1" o:spid="_x0000_s1026" style="position:absolute;margin-left:-50.05pt;margin-top:.05pt;width:1.15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" o:allowincell="f" filled="f" stroked="f" strokeweight="0">
              <v:textbox style="mso-fit-shape-to-text:t" inset="0,0,0,0">
                <w:txbxContent>
                  <w:p w14:paraId="5E1BCC50" w14:textId="77777777" w:rsidR="005C262D" w:rsidRDefault="00C12733">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v:textbox>
              <w10:wrap anchorx="margin"/>
            </v:rect>
          </w:pict>
        </mc:Fallback>
      </mc:AlternateContent>
    </w:r>
  </w:p>
  <w:p w14:paraId="3B74CC6D" w14:textId="77777777" w:rsidR="005C262D" w:rsidRDefault="005C262D"/>
  <w:p w14:paraId="0AD353C2" w14:textId="77777777" w:rsidR="005C262D" w:rsidRDefault="005C262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461AD" w14:textId="77777777" w:rsidR="005C262D" w:rsidRDefault="00C12733">
    <w:pPr>
      <w:pStyle w:val="Stopka"/>
      <w:tabs>
        <w:tab w:val="left" w:pos="3315"/>
      </w:tabs>
      <w:rPr>
        <w:lang w:val="pl-PL"/>
      </w:rPr>
    </w:pPr>
    <w:r>
      <w:rPr>
        <w:noProof/>
        <w:lang w:val="pl-PL" w:eastAsia="pl-PL"/>
      </w:rPr>
      <w:drawing>
        <wp:anchor distT="0" distB="0" distL="0" distR="0" simplePos="0" relativeHeight="2" behindDoc="1" locked="0" layoutInCell="0" allowOverlap="1" wp14:anchorId="4AC05214" wp14:editId="4F1997A4">
          <wp:simplePos x="0" y="0"/>
          <wp:positionH relativeFrom="page">
            <wp:posOffset>0</wp:posOffset>
          </wp:positionH>
          <wp:positionV relativeFrom="page">
            <wp:align>bottom</wp:align>
          </wp:positionV>
          <wp:extent cx="7571105" cy="902970"/>
          <wp:effectExtent l="0" t="0" r="0" b="0"/>
          <wp:wrapNone/>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noChangeArrowheads="1"/>
                  </pic:cNvPicPr>
                </pic:nvPicPr>
                <pic:blipFill>
                  <a:blip r:embed="rId1"/>
                  <a:stretch>
                    <a:fillRect/>
                  </a:stretch>
                </pic:blipFill>
                <pic:spPr bwMode="auto">
                  <a:xfrm>
                    <a:off x="0" y="0"/>
                    <a:ext cx="7571105" cy="902970"/>
                  </a:xfrm>
                  <a:prstGeom prst="rect">
                    <a:avLst/>
                  </a:prstGeom>
                </pic:spPr>
              </pic:pic>
            </a:graphicData>
          </a:graphic>
        </wp:anchor>
      </w:drawing>
    </w:r>
    <w:r>
      <w:rPr>
        <w:noProof/>
        <w:lang w:val="pl-PL" w:eastAsia="pl-PL"/>
      </w:rPr>
      <mc:AlternateContent>
        <mc:Choice Requires="wps">
          <w:drawing>
            <wp:anchor distT="0" distB="0" distL="0" distR="0" simplePos="0" relativeHeight="4" behindDoc="1" locked="0" layoutInCell="0" allowOverlap="1" wp14:anchorId="23DB4845" wp14:editId="2E7042CE">
              <wp:simplePos x="0" y="0"/>
              <wp:positionH relativeFrom="page">
                <wp:posOffset>6481445</wp:posOffset>
              </wp:positionH>
              <wp:positionV relativeFrom="page">
                <wp:posOffset>9902190</wp:posOffset>
              </wp:positionV>
              <wp:extent cx="144145" cy="107950"/>
              <wp:effectExtent l="0" t="0" r="0" b="0"/>
              <wp:wrapSquare wrapText="bothSides"/>
              <wp:docPr id="5" name="Ramka2"/>
              <wp:cNvGraphicFramePr/>
              <a:graphic xmlns:a="http://schemas.openxmlformats.org/drawingml/2006/main">
                <a:graphicData uri="http://schemas.microsoft.com/office/word/2010/wordprocessingShape">
                  <wps:wsp>
                    <wps:cNvSpPr/>
                    <wps:spPr>
                      <a:xfrm>
                        <a:off x="0" y="0"/>
                        <a:ext cx="144000" cy="108000"/>
                      </a:xfrm>
                      <a:prstGeom prst="rect">
                        <a:avLst/>
                      </a:prstGeom>
                      <a:noFill/>
                      <a:ln w="0">
                        <a:noFill/>
                      </a:ln>
                    </wps:spPr>
                    <wps:style>
                      <a:lnRef idx="0">
                        <a:scrgbClr r="0" g="0" b="0"/>
                      </a:lnRef>
                      <a:fillRef idx="0">
                        <a:scrgbClr r="0" g="0" b="0"/>
                      </a:fillRef>
                      <a:effectRef idx="0">
                        <a:scrgbClr r="0" g="0" b="0"/>
                      </a:effectRef>
                      <a:fontRef idx="minor"/>
                    </wps:style>
                    <wps:txbx>
                      <w:txbxContent>
                        <w:p w14:paraId="44818A63" w14:textId="5080517E" w:rsidR="005C262D" w:rsidRDefault="00C12733">
                          <w:pPr>
                            <w:pStyle w:val="Stopka"/>
                            <w:jc w:val="right"/>
                            <w:rPr>
                              <w:rStyle w:val="Numerstrony"/>
                              <w:sz w:val="16"/>
                              <w:szCs w:val="16"/>
                            </w:rPr>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sidR="00264411">
                            <w:rPr>
                              <w:rStyle w:val="Numerstrony"/>
                              <w:noProof/>
                              <w:sz w:val="16"/>
                              <w:szCs w:val="16"/>
                            </w:rPr>
                            <w:t>3</w:t>
                          </w:r>
                          <w:r>
                            <w:rPr>
                              <w:rStyle w:val="Numerstrony"/>
                              <w:sz w:val="16"/>
                              <w:szCs w:val="16"/>
                            </w:rPr>
                            <w:fldChar w:fldCharType="end"/>
                          </w:r>
                        </w:p>
                      </w:txbxContent>
                    </wps:txbx>
                    <wps:bodyPr lIns="0" tIns="0" rIns="0" bIns="0" anchor="t">
                      <a:noAutofit/>
                    </wps:bodyPr>
                  </wps:wsp>
                </a:graphicData>
              </a:graphic>
            </wp:anchor>
          </w:drawing>
        </mc:Choice>
        <mc:Fallback>
          <w:pict>
            <v:rect w14:anchorId="23DB4845" id="Ramka2" o:spid="_x0000_s1027" style="position:absolute;margin-left:510.35pt;margin-top:779.7pt;width:11.35pt;height:8.5pt;z-index:-5033164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" o:allowincell="f" filled="f" stroked="f" strokeweight="0">
              <v:textbox inset="0,0,0,0">
                <w:txbxContent>
                  <w:p w14:paraId="44818A63" w14:textId="5080517E" w:rsidR="005C262D" w:rsidRDefault="00C12733">
                    <w:pPr>
                      <w:pStyle w:val="Stopka"/>
                      <w:jc w:val="right"/>
                      <w:rPr>
                        <w:rStyle w:val="Numerstrony"/>
                        <w:sz w:val="16"/>
                        <w:szCs w:val="16"/>
                      </w:rPr>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sidR="00264411">
                      <w:rPr>
                        <w:rStyle w:val="Numerstrony"/>
                        <w:noProof/>
                        <w:sz w:val="16"/>
                        <w:szCs w:val="16"/>
                      </w:rPr>
                      <w:t>3</w:t>
                    </w:r>
                    <w:r>
                      <w:rPr>
                        <w:rStyle w:val="Numerstrony"/>
                        <w:sz w:val="16"/>
                        <w:szCs w:val="16"/>
                      </w:rPr>
                      <w:fldChar w:fldCharType="end"/>
                    </w:r>
                  </w:p>
                </w:txbxContent>
              </v:textbox>
              <w10:wrap type="square" anchorx="page" anchory="page"/>
            </v:rect>
          </w:pict>
        </mc:Fallback>
      </mc:AlternateContent>
    </w:r>
    <w:r>
      <w:rPr>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C34B0" w14:textId="77777777" w:rsidR="00646388" w:rsidRDefault="00646388">
      <w:pPr>
        <w:spacing w:after="0" w:line="240" w:lineRule="auto"/>
      </w:pPr>
      <w:r>
        <w:separator/>
      </w:r>
    </w:p>
  </w:footnote>
  <w:footnote w:type="continuationSeparator" w:id="0">
    <w:p w14:paraId="76FE80E1" w14:textId="77777777" w:rsidR="00646388" w:rsidRDefault="00646388">
      <w:pPr>
        <w:spacing w:after="0" w:line="240" w:lineRule="auto"/>
      </w:pPr>
      <w:r>
        <w:continuationSeparator/>
      </w:r>
    </w:p>
  </w:footnote>
  <w:footnote w:id="1">
    <w:p w14:paraId="3187AC77" w14:textId="5A45DCDF" w:rsidR="00C829AE" w:rsidRPr="00C829AE" w:rsidRDefault="00C829AE">
      <w:pPr>
        <w:pStyle w:val="Tekstprzypisudolnego"/>
        <w:rPr>
          <w:rFonts w:ascii="Calibri" w:hAnsi="Calibri" w:cs="Calibri"/>
          <w:color w:val="002060"/>
        </w:rPr>
      </w:pPr>
      <w:r w:rsidRPr="00C829AE">
        <w:rPr>
          <w:rStyle w:val="Odwoanieprzypisudolnego"/>
          <w:rFonts w:ascii="Calibri" w:hAnsi="Calibri" w:cs="Calibri"/>
          <w:color w:val="002060"/>
        </w:rPr>
        <w:footnoteRef/>
      </w:r>
      <w:r w:rsidRPr="00C829AE">
        <w:rPr>
          <w:rFonts w:ascii="Calibri" w:hAnsi="Calibri" w:cs="Calibri"/>
          <w:color w:val="002060"/>
        </w:rPr>
        <w:t xml:space="preserve"> </w:t>
      </w:r>
      <w:r w:rsidRPr="00C829AE">
        <w:rPr>
          <w:rFonts w:ascii="Calibri" w:hAnsi="Calibri" w:cs="Calibri"/>
          <w:color w:val="002060"/>
          <w:shd w:val="clear" w:color="auto" w:fill="FFFFFF"/>
        </w:rPr>
        <w:t xml:space="preserve">Pierwsze </w:t>
      </w:r>
      <w:proofErr w:type="spellStart"/>
      <w:r w:rsidRPr="00C829AE">
        <w:rPr>
          <w:rFonts w:ascii="Calibri" w:hAnsi="Calibri" w:cs="Calibri"/>
          <w:color w:val="002060"/>
          <w:shd w:val="clear" w:color="auto" w:fill="FFFFFF"/>
        </w:rPr>
        <w:t>NDCs</w:t>
      </w:r>
      <w:proofErr w:type="spellEnd"/>
      <w:r w:rsidRPr="00C829AE">
        <w:rPr>
          <w:rFonts w:ascii="Calibri" w:hAnsi="Calibri" w:cs="Calibri"/>
          <w:color w:val="002060"/>
          <w:shd w:val="clear" w:color="auto" w:fill="FFFFFF"/>
        </w:rPr>
        <w:t xml:space="preserve"> określające działania krajowe po roku 2030 złożyły jeszcze przed COP29, w dn. 6.11.2024 r.  Zjednoczone Emiraty Arabskie:</w:t>
      </w:r>
      <w:r w:rsidRPr="00C829AE">
        <w:rPr>
          <w:rStyle w:val="white-space-pre"/>
          <w:rFonts w:ascii="Calibri" w:hAnsi="Calibri" w:cs="Calibri"/>
          <w:color w:val="002060"/>
          <w:shd w:val="clear" w:color="auto" w:fill="FFFFFF"/>
        </w:rPr>
        <w:t xml:space="preserve"> </w:t>
      </w:r>
      <w:hyperlink r:id="rId1" w:tgtFrame="_self" w:history="1">
        <w:r w:rsidRPr="00C829AE">
          <w:rPr>
            <w:rStyle w:val="Hipercze"/>
            <w:rFonts w:ascii="Calibri" w:hAnsi="Calibri" w:cs="Calibri"/>
            <w:color w:val="002060"/>
            <w:shd w:val="clear" w:color="auto" w:fill="FFFFFF"/>
          </w:rPr>
          <w:t>https://unfccc.int/NDCREG</w:t>
        </w:r>
      </w:hyperlink>
      <w:r w:rsidRPr="00C829AE">
        <w:rPr>
          <w:rFonts w:ascii="Calibri" w:hAnsi="Calibri" w:cs="Calibri"/>
          <w:color w:val="002060"/>
          <w:shd w:val="clear" w:color="auto" w:fill="FFFFFF"/>
        </w:rPr>
        <w:t>;</w:t>
      </w:r>
    </w:p>
  </w:footnote>
  <w:footnote w:id="2">
    <w:p w14:paraId="1281AE23" w14:textId="2E7E9C56" w:rsidR="00C829AE" w:rsidRPr="00C829AE" w:rsidRDefault="00C829AE">
      <w:pPr>
        <w:pStyle w:val="Tekstprzypisudolnego"/>
        <w:rPr>
          <w:rFonts w:ascii="Calibri" w:hAnsi="Calibri" w:cs="Calibri"/>
          <w:color w:val="002060"/>
        </w:rPr>
      </w:pPr>
      <w:r w:rsidRPr="00C829AE">
        <w:rPr>
          <w:rStyle w:val="Odwoanieprzypisudolnego"/>
          <w:rFonts w:ascii="Calibri" w:hAnsi="Calibri" w:cs="Calibri"/>
          <w:color w:val="002060"/>
        </w:rPr>
        <w:footnoteRef/>
      </w:r>
      <w:r w:rsidRPr="00C829AE">
        <w:rPr>
          <w:rFonts w:ascii="Calibri" w:hAnsi="Calibri" w:cs="Calibri"/>
          <w:color w:val="002060"/>
        </w:rPr>
        <w:t xml:space="preserve"> </w:t>
      </w:r>
      <w:hyperlink r:id="rId2" w:tgtFrame="_self" w:history="1">
        <w:r w:rsidRPr="00C829AE">
          <w:rPr>
            <w:rStyle w:val="Hipercze"/>
            <w:rFonts w:ascii="Calibri" w:hAnsi="Calibri" w:cs="Calibri"/>
            <w:color w:val="002060"/>
            <w:shd w:val="clear" w:color="auto" w:fill="FFFFFF"/>
          </w:rPr>
          <w:t>https://unfccc.int/sites/default/files/2024-11/Brazil_Second%20Nationally%20Determined%20Contribution%20%28NDC%29_November2024.pdf</w:t>
        </w:r>
      </w:hyperlink>
    </w:p>
  </w:footnote>
  <w:footnote w:id="3">
    <w:p w14:paraId="2D7ADF78" w14:textId="793DBCF2" w:rsidR="00C829AE" w:rsidRPr="00C829AE" w:rsidRDefault="00C829AE">
      <w:pPr>
        <w:pStyle w:val="Tekstprzypisudolnego"/>
        <w:rPr>
          <w:rFonts w:ascii="Calibri" w:hAnsi="Calibri" w:cs="Calibri"/>
          <w:color w:val="002060"/>
        </w:rPr>
      </w:pPr>
      <w:r w:rsidRPr="00C829AE">
        <w:rPr>
          <w:rStyle w:val="Odwoanieprzypisudolnego"/>
          <w:rFonts w:ascii="Calibri" w:hAnsi="Calibri" w:cs="Calibri"/>
          <w:color w:val="002060"/>
        </w:rPr>
        <w:footnoteRef/>
      </w:r>
      <w:r w:rsidRPr="00C829AE">
        <w:rPr>
          <w:rFonts w:ascii="Calibri" w:hAnsi="Calibri" w:cs="Calibri"/>
          <w:color w:val="002060"/>
        </w:rPr>
        <w:t xml:space="preserve"> </w:t>
      </w:r>
      <w:r w:rsidRPr="00C829AE">
        <w:rPr>
          <w:rFonts w:ascii="Calibri" w:hAnsi="Calibri" w:cs="Calibri"/>
          <w:color w:val="002060"/>
          <w:shd w:val="clear" w:color="auto" w:fill="FFFFFF"/>
        </w:rPr>
        <w:t> Inicjatywy Azerbejdżanu, jako Prezydencji COP29:</w:t>
      </w:r>
      <w:r w:rsidRPr="00C829AE">
        <w:rPr>
          <w:rStyle w:val="white-space-pre"/>
          <w:rFonts w:ascii="Calibri" w:hAnsi="Calibri" w:cs="Calibri"/>
          <w:color w:val="002060"/>
          <w:shd w:val="clear" w:color="auto" w:fill="FFFFFF"/>
        </w:rPr>
        <w:t xml:space="preserve"> </w:t>
      </w:r>
      <w:hyperlink r:id="rId3" w:tgtFrame="_self" w:history="1">
        <w:r w:rsidRPr="00C829AE">
          <w:rPr>
            <w:rStyle w:val="Hipercze"/>
            <w:rFonts w:ascii="Calibri" w:hAnsi="Calibri" w:cs="Calibri"/>
            <w:color w:val="002060"/>
            <w:shd w:val="clear" w:color="auto" w:fill="FFFFFF"/>
          </w:rPr>
          <w:t>https://cop29.az/en/pages/cop-29-presidential-action-agenda-global-initiatives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3ED65" w14:textId="77777777" w:rsidR="005C262D" w:rsidRDefault="00C12733">
    <w:pPr>
      <w:pStyle w:val="Nagwek"/>
      <w:tabs>
        <w:tab w:val="clear" w:pos="4513"/>
        <w:tab w:val="clear" w:pos="9026"/>
        <w:tab w:val="left" w:pos="249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C5717" w14:textId="77777777" w:rsidR="005C262D" w:rsidRDefault="00C12733">
    <w:pPr>
      <w:pStyle w:val="Nagwek"/>
    </w:pPr>
    <w:r>
      <w:rPr>
        <w:noProof/>
        <w:lang w:val="pl-PL" w:eastAsia="pl-PL"/>
      </w:rPr>
      <w:drawing>
        <wp:anchor distT="0" distB="0" distL="0" distR="0" simplePos="0" relativeHeight="3" behindDoc="1" locked="0" layoutInCell="0" allowOverlap="1" wp14:anchorId="23BF941B" wp14:editId="07A19D4A">
          <wp:simplePos x="0" y="0"/>
          <wp:positionH relativeFrom="page">
            <wp:posOffset>12700</wp:posOffset>
          </wp:positionH>
          <wp:positionV relativeFrom="paragraph">
            <wp:posOffset>-448310</wp:posOffset>
          </wp:positionV>
          <wp:extent cx="7534275" cy="1257300"/>
          <wp:effectExtent l="0" t="0" r="0" b="0"/>
          <wp:wrapNone/>
          <wp:docPr id="1" name="Obraz 5" descr="C:\Users\katarzyna.pasikowska\Downloads\STOPKA_papier_firmowy_kolor_RGB_STOPKA IOŚ_ skró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C:\Users\katarzyna.pasikowska\Downloads\STOPKA_papier_firmowy_kolor_RGB_STOPKA IOŚ_ skrót.jpg"/>
                  <pic:cNvPicPr>
                    <a:picLocks noChangeAspect="1" noChangeArrowheads="1"/>
                  </pic:cNvPicPr>
                </pic:nvPicPr>
                <pic:blipFill>
                  <a:blip r:embed="rId1"/>
                  <a:stretch>
                    <a:fillRect/>
                  </a:stretch>
                </pic:blipFill>
                <pic:spPr bwMode="auto">
                  <a:xfrm>
                    <a:off x="0" y="0"/>
                    <a:ext cx="7534275" cy="1257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C25BB"/>
    <w:multiLevelType w:val="hybridMultilevel"/>
    <w:tmpl w:val="67D4B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C3D10C2"/>
    <w:multiLevelType w:val="hybridMultilevel"/>
    <w:tmpl w:val="4A1448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2D"/>
    <w:rsid w:val="00006F5A"/>
    <w:rsid w:val="0001381F"/>
    <w:rsid w:val="0017327F"/>
    <w:rsid w:val="001A5F67"/>
    <w:rsid w:val="001F7A5E"/>
    <w:rsid w:val="00204171"/>
    <w:rsid w:val="00217EB6"/>
    <w:rsid w:val="00227E35"/>
    <w:rsid w:val="00231EDB"/>
    <w:rsid w:val="00264411"/>
    <w:rsid w:val="002656E1"/>
    <w:rsid w:val="002C3E7F"/>
    <w:rsid w:val="002D6DE3"/>
    <w:rsid w:val="003333FF"/>
    <w:rsid w:val="003474B5"/>
    <w:rsid w:val="003578F1"/>
    <w:rsid w:val="003B1CC7"/>
    <w:rsid w:val="003D4AC9"/>
    <w:rsid w:val="00476E8A"/>
    <w:rsid w:val="00481856"/>
    <w:rsid w:val="00530E25"/>
    <w:rsid w:val="0054522D"/>
    <w:rsid w:val="00593B9F"/>
    <w:rsid w:val="005C262D"/>
    <w:rsid w:val="005E4C11"/>
    <w:rsid w:val="005F47F6"/>
    <w:rsid w:val="006065D1"/>
    <w:rsid w:val="00646388"/>
    <w:rsid w:val="00700EFA"/>
    <w:rsid w:val="007028BE"/>
    <w:rsid w:val="00705157"/>
    <w:rsid w:val="00751EE2"/>
    <w:rsid w:val="00773717"/>
    <w:rsid w:val="007A0979"/>
    <w:rsid w:val="008A29C9"/>
    <w:rsid w:val="009076D4"/>
    <w:rsid w:val="009245AA"/>
    <w:rsid w:val="00936F21"/>
    <w:rsid w:val="009549AC"/>
    <w:rsid w:val="00986E57"/>
    <w:rsid w:val="009B1511"/>
    <w:rsid w:val="00B24097"/>
    <w:rsid w:val="00C12733"/>
    <w:rsid w:val="00C32A9E"/>
    <w:rsid w:val="00C52F31"/>
    <w:rsid w:val="00C829AE"/>
    <w:rsid w:val="00CF07BD"/>
    <w:rsid w:val="00D12DC2"/>
    <w:rsid w:val="00D2092C"/>
    <w:rsid w:val="00D20FDA"/>
    <w:rsid w:val="00DC145F"/>
    <w:rsid w:val="00DC565B"/>
    <w:rsid w:val="00E12099"/>
    <w:rsid w:val="00E24701"/>
    <w:rsid w:val="00E75A4C"/>
    <w:rsid w:val="00ED45AC"/>
    <w:rsid w:val="00F206F4"/>
    <w:rsid w:val="00F25D14"/>
    <w:rsid w:val="00F637C1"/>
    <w:rsid w:val="00FD17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2DFD"/>
  <w15:docId w15:val="{7504BC3A-EB3B-4FFD-AB17-563A3F43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04B1"/>
    <w:pPr>
      <w:spacing w:after="200" w:line="276" w:lineRule="auto"/>
    </w:pPr>
  </w:style>
  <w:style w:type="paragraph" w:styleId="Nagwek3">
    <w:name w:val="heading 3"/>
    <w:basedOn w:val="Normalny"/>
    <w:link w:val="Nagwek3Znak"/>
    <w:uiPriority w:val="9"/>
    <w:qFormat/>
    <w:rsid w:val="0085309D"/>
    <w:pPr>
      <w:spacing w:beforeAutospacing="1"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7605DA"/>
    <w:rPr>
      <w:rFonts w:eastAsia="Times New Roman" w:cs="Times New Roman"/>
      <w:color w:val="000000" w:themeColor="text1"/>
      <w:sz w:val="12"/>
      <w:szCs w:val="20"/>
      <w:lang w:val="en-US"/>
    </w:rPr>
  </w:style>
  <w:style w:type="character" w:styleId="Numerstrony">
    <w:name w:val="page number"/>
    <w:basedOn w:val="Domylnaczcionkaakapitu"/>
    <w:uiPriority w:val="99"/>
    <w:semiHidden/>
    <w:unhideWhenUsed/>
    <w:qFormat/>
    <w:rsid w:val="007605DA"/>
    <w:rPr>
      <w:rFonts w:asciiTheme="minorHAnsi" w:hAnsiTheme="minorHAnsi" w:cs="Times New Roman"/>
      <w:color w:val="000000" w:themeColor="text1"/>
      <w:sz w:val="15"/>
    </w:rPr>
  </w:style>
  <w:style w:type="character" w:customStyle="1" w:styleId="NagwekZnak">
    <w:name w:val="Nagłówek Znak"/>
    <w:basedOn w:val="Domylnaczcionkaakapitu"/>
    <w:link w:val="Nagwek"/>
    <w:uiPriority w:val="99"/>
    <w:qFormat/>
    <w:rsid w:val="007605DA"/>
    <w:rPr>
      <w:rFonts w:eastAsia="Times New Roman" w:cs="Times New Roman"/>
      <w:color w:val="000000" w:themeColor="text1"/>
      <w:sz w:val="21"/>
      <w:szCs w:val="20"/>
      <w:lang w:val="en-US"/>
    </w:rPr>
  </w:style>
  <w:style w:type="character" w:styleId="Pogrubienie">
    <w:name w:val="Strong"/>
    <w:basedOn w:val="Domylnaczcionkaakapitu"/>
    <w:uiPriority w:val="22"/>
    <w:qFormat/>
    <w:rsid w:val="00574878"/>
    <w:rPr>
      <w:b/>
      <w:bCs/>
    </w:rPr>
  </w:style>
  <w:style w:type="character" w:customStyle="1" w:styleId="Hipercze1">
    <w:name w:val="Hiperłącze1"/>
    <w:basedOn w:val="Domylnaczcionkaakapitu"/>
    <w:uiPriority w:val="99"/>
    <w:unhideWhenUsed/>
    <w:rsid w:val="00AA7506"/>
    <w:rPr>
      <w:color w:val="0000FF"/>
      <w:u w:val="single"/>
    </w:rPr>
  </w:style>
  <w:style w:type="character" w:customStyle="1" w:styleId="Nagwek3Znak">
    <w:name w:val="Nagłówek 3 Znak"/>
    <w:basedOn w:val="Domylnaczcionkaakapitu"/>
    <w:link w:val="Nagwek3"/>
    <w:uiPriority w:val="9"/>
    <w:qFormat/>
    <w:rsid w:val="0085309D"/>
    <w:rPr>
      <w:rFonts w:ascii="Times New Roman" w:eastAsia="Times New Roman" w:hAnsi="Times New Roman" w:cs="Times New Roman"/>
      <w:b/>
      <w:bCs/>
      <w:sz w:val="27"/>
      <w:szCs w:val="27"/>
      <w:lang w:eastAsia="pl-PL"/>
    </w:rPr>
  </w:style>
  <w:style w:type="character" w:styleId="Odwoaniedokomentarza">
    <w:name w:val="annotation reference"/>
    <w:basedOn w:val="Domylnaczcionkaakapitu"/>
    <w:uiPriority w:val="99"/>
    <w:semiHidden/>
    <w:unhideWhenUsed/>
    <w:qFormat/>
    <w:rsid w:val="00A80142"/>
    <w:rPr>
      <w:sz w:val="16"/>
      <w:szCs w:val="16"/>
    </w:rPr>
  </w:style>
  <w:style w:type="character" w:customStyle="1" w:styleId="TekstkomentarzaZnak">
    <w:name w:val="Tekst komentarza Znak"/>
    <w:basedOn w:val="Domylnaczcionkaakapitu"/>
    <w:link w:val="Tekstkomentarza"/>
    <w:uiPriority w:val="99"/>
    <w:semiHidden/>
    <w:qFormat/>
    <w:rsid w:val="00A80142"/>
    <w:rPr>
      <w:sz w:val="20"/>
      <w:szCs w:val="20"/>
    </w:rPr>
  </w:style>
  <w:style w:type="character" w:customStyle="1" w:styleId="TematkomentarzaZnak">
    <w:name w:val="Temat komentarza Znak"/>
    <w:basedOn w:val="TekstkomentarzaZnak"/>
    <w:link w:val="Tematkomentarza"/>
    <w:uiPriority w:val="99"/>
    <w:semiHidden/>
    <w:qFormat/>
    <w:rsid w:val="00A80142"/>
    <w:rPr>
      <w:b/>
      <w:bCs/>
      <w:sz w:val="20"/>
      <w:szCs w:val="20"/>
    </w:rPr>
  </w:style>
  <w:style w:type="character" w:customStyle="1" w:styleId="TekstdymkaZnak">
    <w:name w:val="Tekst dymka Znak"/>
    <w:basedOn w:val="Domylnaczcionkaakapitu"/>
    <w:link w:val="Tekstdymka"/>
    <w:uiPriority w:val="99"/>
    <w:semiHidden/>
    <w:qFormat/>
    <w:rsid w:val="00A80142"/>
    <w:rPr>
      <w:rFonts w:ascii="Tahoma" w:hAnsi="Tahoma" w:cs="Tahoma"/>
      <w:sz w:val="16"/>
      <w:szCs w:val="16"/>
    </w:rPr>
  </w:style>
  <w:style w:type="character" w:customStyle="1" w:styleId="UyteHipercze1">
    <w:name w:val="UżyteHiperłącze1"/>
    <w:basedOn w:val="Domylnaczcionkaakapitu"/>
    <w:uiPriority w:val="99"/>
    <w:semiHidden/>
    <w:unhideWhenUsed/>
    <w:rsid w:val="003C4FA4"/>
    <w:rPr>
      <w:color w:val="800080" w:themeColor="followedHyperlink"/>
      <w:u w:val="single"/>
    </w:rPr>
  </w:style>
  <w:style w:type="character" w:customStyle="1" w:styleId="TekstprzypisudolnegoZnak">
    <w:name w:val="Tekst przypisu dolnego Znak"/>
    <w:basedOn w:val="Domylnaczcionkaakapitu"/>
    <w:link w:val="Tekstprzypisudolnego"/>
    <w:uiPriority w:val="99"/>
    <w:semiHidden/>
    <w:qFormat/>
    <w:rsid w:val="00313C30"/>
    <w:rPr>
      <w:sz w:val="20"/>
      <w:szCs w:val="20"/>
    </w:rPr>
  </w:style>
  <w:style w:type="character" w:customStyle="1" w:styleId="Znakiprzypiswdolnych">
    <w:name w:val="Znaki przypisów dolnych"/>
    <w:basedOn w:val="Domylnaczcionkaakapitu"/>
    <w:uiPriority w:val="99"/>
    <w:semiHidden/>
    <w:unhideWhenUsed/>
    <w:qFormat/>
    <w:rsid w:val="00313C30"/>
    <w:rPr>
      <w:vertAlign w:val="superscript"/>
    </w:rPr>
  </w:style>
  <w:style w:type="character" w:customStyle="1" w:styleId="Odwoanieprzypisudolnego1">
    <w:name w:val="Odwołanie przypisu dolnego1"/>
    <w:rPr>
      <w:vertAlign w:val="superscript"/>
    </w:rPr>
  </w:style>
  <w:style w:type="character" w:customStyle="1" w:styleId="Uwydatnienie1">
    <w:name w:val="Uwydatnienie1"/>
    <w:basedOn w:val="Domylnaczcionkaakapitu"/>
    <w:uiPriority w:val="20"/>
    <w:qFormat/>
    <w:rsid w:val="00271B47"/>
    <w:rPr>
      <w:i/>
      <w:iCs/>
    </w:rPr>
  </w:style>
  <w:style w:type="character" w:customStyle="1" w:styleId="TekstprzypisukocowegoZnak">
    <w:name w:val="Tekst przypisu końcowego Znak"/>
    <w:basedOn w:val="Domylnaczcionkaakapitu"/>
    <w:link w:val="Tekstprzypisukocowego"/>
    <w:uiPriority w:val="99"/>
    <w:semiHidden/>
    <w:qFormat/>
    <w:rsid w:val="006D352A"/>
    <w:rPr>
      <w:sz w:val="20"/>
      <w:szCs w:val="20"/>
    </w:rPr>
  </w:style>
  <w:style w:type="character" w:customStyle="1" w:styleId="Znakiprzypiswkocowych">
    <w:name w:val="Znaki przypisów końcowych"/>
    <w:basedOn w:val="Domylnaczcionkaakapitu"/>
    <w:uiPriority w:val="99"/>
    <w:semiHidden/>
    <w:unhideWhenUsed/>
    <w:qFormat/>
    <w:rsid w:val="006D352A"/>
    <w:rPr>
      <w:vertAlign w:val="superscript"/>
    </w:rPr>
  </w:style>
  <w:style w:type="character" w:customStyle="1" w:styleId="Odwoanieprzypisukocowego1">
    <w:name w:val="Odwołanie przypisu końcowego1"/>
    <w:rPr>
      <w:vertAlign w:val="superscript"/>
    </w:rPr>
  </w:style>
  <w:style w:type="character" w:customStyle="1" w:styleId="Numerwiersza1">
    <w:name w:val="Numer wiersza1"/>
  </w:style>
  <w:style w:type="paragraph" w:styleId="Nagwek">
    <w:name w:val="header"/>
    <w:basedOn w:val="Normalny"/>
    <w:next w:val="Tekstpodstawowy"/>
    <w:link w:val="NagwekZnak"/>
    <w:uiPriority w:val="99"/>
    <w:unhideWhenUsed/>
    <w:rsid w:val="007605DA"/>
    <w:pPr>
      <w:tabs>
        <w:tab w:val="center" w:pos="4513"/>
        <w:tab w:val="right" w:pos="9026"/>
      </w:tabs>
      <w:spacing w:after="0" w:line="240" w:lineRule="auto"/>
    </w:pPr>
    <w:rPr>
      <w:rFonts w:eastAsia="Times New Roman" w:cs="Times New Roman"/>
      <w:color w:val="000000" w:themeColor="text1"/>
      <w:sz w:val="21"/>
      <w:szCs w:val="20"/>
      <w:lang w:val="en-US"/>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customStyle="1" w:styleId="Gwkaistopka">
    <w:name w:val="Główka i stopka"/>
    <w:basedOn w:val="Normalny"/>
    <w:qFormat/>
  </w:style>
  <w:style w:type="paragraph" w:styleId="Stopka">
    <w:name w:val="footer"/>
    <w:basedOn w:val="Normalny"/>
    <w:link w:val="StopkaZnak"/>
    <w:uiPriority w:val="99"/>
    <w:unhideWhenUsed/>
    <w:rsid w:val="007605DA"/>
    <w:pPr>
      <w:spacing w:after="180" w:line="200" w:lineRule="exact"/>
    </w:pPr>
    <w:rPr>
      <w:rFonts w:eastAsia="Times New Roman" w:cs="Times New Roman"/>
      <w:color w:val="000000" w:themeColor="text1"/>
      <w:sz w:val="12"/>
      <w:szCs w:val="20"/>
      <w:lang w:val="en-US"/>
    </w:rPr>
  </w:style>
  <w:style w:type="paragraph" w:customStyle="1" w:styleId="HeaderTitle">
    <w:name w:val="Header Title"/>
    <w:basedOn w:val="Normalny"/>
    <w:qFormat/>
    <w:rsid w:val="007605DA"/>
    <w:pPr>
      <w:tabs>
        <w:tab w:val="center" w:pos="4513"/>
        <w:tab w:val="right" w:pos="9026"/>
      </w:tabs>
      <w:spacing w:after="180" w:line="300" w:lineRule="exact"/>
    </w:pPr>
    <w:rPr>
      <w:rFonts w:eastAsia="Times New Roman" w:cs="Times New Roman (Body CS)"/>
      <w:color w:val="000000" w:themeColor="text1"/>
      <w:sz w:val="21"/>
      <w:szCs w:val="20"/>
      <w:lang w:val="en-US"/>
    </w:rPr>
  </w:style>
  <w:style w:type="paragraph" w:customStyle="1" w:styleId="Normalny1">
    <w:name w:val="Normalny1"/>
    <w:qFormat/>
    <w:rsid w:val="00200F17"/>
    <w:pPr>
      <w:spacing w:line="276" w:lineRule="auto"/>
    </w:pPr>
    <w:rPr>
      <w:rFonts w:ascii="Arial" w:eastAsia="Arial" w:hAnsi="Arial" w:cs="Arial"/>
      <w:lang w:eastAsia="pl-PL"/>
    </w:rPr>
  </w:style>
  <w:style w:type="paragraph" w:styleId="Akapitzlist">
    <w:name w:val="List Paragraph"/>
    <w:basedOn w:val="Normalny"/>
    <w:uiPriority w:val="34"/>
    <w:qFormat/>
    <w:rsid w:val="00200F17"/>
    <w:pPr>
      <w:ind w:left="720"/>
      <w:contextualSpacing/>
    </w:pPr>
  </w:style>
  <w:style w:type="paragraph" w:styleId="Tekstkomentarza">
    <w:name w:val="annotation text"/>
    <w:basedOn w:val="Normalny"/>
    <w:link w:val="TekstkomentarzaZnak"/>
    <w:uiPriority w:val="99"/>
    <w:semiHidden/>
    <w:unhideWhenUsed/>
    <w:qFormat/>
    <w:rsid w:val="00A8014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A80142"/>
    <w:rPr>
      <w:b/>
      <w:bCs/>
    </w:rPr>
  </w:style>
  <w:style w:type="paragraph" w:styleId="Tekstdymka">
    <w:name w:val="Balloon Text"/>
    <w:basedOn w:val="Normalny"/>
    <w:link w:val="TekstdymkaZnak"/>
    <w:uiPriority w:val="99"/>
    <w:semiHidden/>
    <w:unhideWhenUsed/>
    <w:qFormat/>
    <w:rsid w:val="00A80142"/>
    <w:pPr>
      <w:spacing w:after="0" w:line="240" w:lineRule="auto"/>
    </w:pPr>
    <w:rPr>
      <w:rFonts w:ascii="Tahoma" w:hAnsi="Tahoma" w:cs="Tahoma"/>
      <w:sz w:val="16"/>
      <w:szCs w:val="16"/>
    </w:rPr>
  </w:style>
  <w:style w:type="paragraph" w:styleId="NormalnyWeb">
    <w:name w:val="Normal (Web)"/>
    <w:basedOn w:val="Normalny"/>
    <w:uiPriority w:val="99"/>
    <w:semiHidden/>
    <w:unhideWhenUsed/>
    <w:qFormat/>
    <w:rsid w:val="00117F8F"/>
    <w:pPr>
      <w:spacing w:beforeAutospacing="1"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13C30"/>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6D352A"/>
    <w:pPr>
      <w:spacing w:after="0" w:line="240" w:lineRule="auto"/>
    </w:pPr>
    <w:rPr>
      <w:sz w:val="20"/>
      <w:szCs w:val="20"/>
    </w:rPr>
  </w:style>
  <w:style w:type="paragraph" w:styleId="Poprawka">
    <w:name w:val="Revision"/>
    <w:uiPriority w:val="99"/>
    <w:semiHidden/>
    <w:qFormat/>
    <w:rsid w:val="0054740E"/>
  </w:style>
  <w:style w:type="paragraph" w:customStyle="1" w:styleId="Zawartoramki">
    <w:name w:val="Zawartość ramki"/>
    <w:basedOn w:val="Normalny"/>
    <w:qFormat/>
  </w:style>
  <w:style w:type="character" w:styleId="Hipercze">
    <w:name w:val="Hyperlink"/>
    <w:basedOn w:val="Domylnaczcionkaakapitu"/>
    <w:uiPriority w:val="99"/>
    <w:unhideWhenUsed/>
    <w:rsid w:val="00705157"/>
    <w:rPr>
      <w:color w:val="1F497D" w:themeColor="text2"/>
      <w:u w:val="single"/>
    </w:rPr>
  </w:style>
  <w:style w:type="character" w:customStyle="1" w:styleId="Nierozpoznanawzmianka1">
    <w:name w:val="Nierozpoznana wzmianka1"/>
    <w:basedOn w:val="Domylnaczcionkaakapitu"/>
    <w:uiPriority w:val="99"/>
    <w:semiHidden/>
    <w:unhideWhenUsed/>
    <w:rsid w:val="003B1CC7"/>
    <w:rPr>
      <w:color w:val="605E5C"/>
      <w:shd w:val="clear" w:color="auto" w:fill="E1DFDD"/>
    </w:rPr>
  </w:style>
  <w:style w:type="character" w:styleId="Odwoanieprzypisudolnego">
    <w:name w:val="footnote reference"/>
    <w:basedOn w:val="Domylnaczcionkaakapitu"/>
    <w:uiPriority w:val="99"/>
    <w:semiHidden/>
    <w:unhideWhenUsed/>
    <w:rsid w:val="00C829AE"/>
    <w:rPr>
      <w:vertAlign w:val="superscript"/>
    </w:rPr>
  </w:style>
  <w:style w:type="character" w:customStyle="1" w:styleId="white-space-pre">
    <w:name w:val="white-space-pre"/>
    <w:basedOn w:val="Domylnaczcionkaakapitu"/>
    <w:rsid w:val="00C829AE"/>
  </w:style>
  <w:style w:type="character" w:styleId="Odwoanieprzypisukocowego">
    <w:name w:val="endnote reference"/>
    <w:basedOn w:val="Domylnaczcionkaakapitu"/>
    <w:uiPriority w:val="99"/>
    <w:semiHidden/>
    <w:unhideWhenUsed/>
    <w:rsid w:val="00E120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8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cop29.az/en/pages/cop-29-presidential-action-agenda-global-initiatives" TargetMode="External"/><Relationship Id="rId2" Type="http://schemas.openxmlformats.org/officeDocument/2006/relationships/hyperlink" Target="https://unfccc.int/sites/default/files/2024-11/Brazil_Second%20Nationally%20Determined%20Contribution%20%28NDC%29_November2024.pdf" TargetMode="External"/><Relationship Id="rId1" Type="http://schemas.openxmlformats.org/officeDocument/2006/relationships/hyperlink" Target="https://unfccc.int/NDCRE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E9414-7129-41AD-AE28-1E15116E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1114</Words>
  <Characters>6685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Pwowa</dc:creator>
  <dc:description/>
  <cp:lastModifiedBy>Pasikowska Katarzyna</cp:lastModifiedBy>
  <cp:revision>8</cp:revision>
  <dcterms:created xsi:type="dcterms:W3CDTF">2025-01-03T14:18:00Z</dcterms:created>
  <dcterms:modified xsi:type="dcterms:W3CDTF">2025-01-07T14:09:00Z</dcterms:modified>
  <dc:language>pl-PL</dc:language>
</cp:coreProperties>
</file>