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543D" w14:textId="7D61EC14" w:rsidR="00E152D0" w:rsidRDefault="00276A21" w:rsidP="00CF46D5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B45097">
        <w:rPr>
          <w:lang w:val="pl-PL"/>
        </w:rPr>
        <w:t>październik</w:t>
      </w:r>
      <w:r w:rsidRPr="00BE4395">
        <w:rPr>
          <w:lang w:val="pl-PL"/>
        </w:rPr>
        <w:t xml:space="preserve"> 202</w:t>
      </w:r>
      <w:r w:rsidR="006C36D0">
        <w:rPr>
          <w:lang w:val="pl-PL"/>
        </w:rPr>
        <w:t>2</w:t>
      </w:r>
    </w:p>
    <w:p w14:paraId="75526728" w14:textId="3DAAA9E3" w:rsidR="008076C7" w:rsidRDefault="008076C7" w:rsidP="003A254E">
      <w:pPr>
        <w:rPr>
          <w:lang w:val="pl-PL"/>
        </w:rPr>
      </w:pPr>
      <w:r>
        <w:rPr>
          <w:lang w:val="pl-PL"/>
        </w:rPr>
        <w:t>Informacja prasowa</w:t>
      </w:r>
    </w:p>
    <w:p w14:paraId="57445104" w14:textId="77777777" w:rsidR="002817CB" w:rsidRDefault="002817CB" w:rsidP="003A254E">
      <w:pPr>
        <w:rPr>
          <w:lang w:val="pl-PL"/>
        </w:rPr>
      </w:pPr>
    </w:p>
    <w:p w14:paraId="3FBDDA8C" w14:textId="5CD8F69E" w:rsidR="006C36D0" w:rsidRPr="002817CB" w:rsidRDefault="00B45097" w:rsidP="002817CB">
      <w:pPr>
        <w:jc w:val="center"/>
        <w:rPr>
          <w:b/>
          <w:lang w:val="pl-PL"/>
        </w:rPr>
      </w:pPr>
      <w:r w:rsidRPr="00B45097">
        <w:rPr>
          <w:b/>
          <w:lang w:val="pl-PL"/>
        </w:rPr>
        <w:t>DER, czyli zielona rewolucja w budownictwie</w:t>
      </w:r>
    </w:p>
    <w:p w14:paraId="1F87ACE3" w14:textId="2AF6AB25" w:rsidR="00750F9C" w:rsidRPr="0084358C" w:rsidRDefault="00B45097" w:rsidP="00B45097">
      <w:pPr>
        <w:jc w:val="both"/>
        <w:rPr>
          <w:b/>
          <w:lang w:val="pl-PL"/>
        </w:rPr>
      </w:pPr>
      <w:r w:rsidRPr="00B45097">
        <w:rPr>
          <w:b/>
          <w:lang w:val="pl-PL"/>
        </w:rPr>
        <w:t>Hasłem dla budownictwa w Polsce będzie w najbliższych miesiącach i latach tzw. Głęboka</w:t>
      </w:r>
      <w:r>
        <w:rPr>
          <w:b/>
          <w:lang w:val="pl-PL"/>
        </w:rPr>
        <w:t xml:space="preserve"> </w:t>
      </w:r>
      <w:r w:rsidRPr="00B45097">
        <w:rPr>
          <w:b/>
          <w:lang w:val="pl-PL"/>
        </w:rPr>
        <w:t>termomodernizacja – w języku angielskim zwana DER, tj. „</w:t>
      </w:r>
      <w:proofErr w:type="spellStart"/>
      <w:r w:rsidRPr="00B45097">
        <w:rPr>
          <w:b/>
          <w:i/>
          <w:lang w:val="pl-PL"/>
        </w:rPr>
        <w:t>Deep</w:t>
      </w:r>
      <w:proofErr w:type="spellEnd"/>
      <w:r w:rsidRPr="00B45097">
        <w:rPr>
          <w:b/>
          <w:i/>
          <w:lang w:val="pl-PL"/>
        </w:rPr>
        <w:t xml:space="preserve"> </w:t>
      </w:r>
      <w:proofErr w:type="spellStart"/>
      <w:r w:rsidRPr="00B45097">
        <w:rPr>
          <w:b/>
          <w:i/>
          <w:lang w:val="pl-PL"/>
        </w:rPr>
        <w:t>energy</w:t>
      </w:r>
      <w:proofErr w:type="spellEnd"/>
      <w:r w:rsidRPr="00B45097">
        <w:rPr>
          <w:b/>
          <w:i/>
          <w:lang w:val="pl-PL"/>
        </w:rPr>
        <w:t xml:space="preserve"> </w:t>
      </w:r>
      <w:proofErr w:type="spellStart"/>
      <w:r w:rsidRPr="00B45097">
        <w:rPr>
          <w:b/>
          <w:i/>
          <w:lang w:val="pl-PL"/>
        </w:rPr>
        <w:t>retrofit</w:t>
      </w:r>
      <w:proofErr w:type="spellEnd"/>
      <w:r w:rsidRPr="00B45097">
        <w:rPr>
          <w:b/>
          <w:lang w:val="pl-PL"/>
        </w:rPr>
        <w:t>”.</w:t>
      </w:r>
      <w:r>
        <w:rPr>
          <w:b/>
          <w:lang w:val="pl-PL"/>
        </w:rPr>
        <w:t xml:space="preserve"> </w:t>
      </w:r>
      <w:r w:rsidR="0070696F">
        <w:rPr>
          <w:b/>
          <w:lang w:val="pl-PL"/>
        </w:rPr>
        <w:t>Eksperci Instytutu Ochrony Środowiska – Państwowego Instytutu Badawczego uważają tak</w:t>
      </w:r>
      <w:r w:rsidRPr="00B45097">
        <w:rPr>
          <w:b/>
          <w:lang w:val="pl-PL"/>
        </w:rPr>
        <w:t xml:space="preserve"> kompleksowe podejście do zmniejszenia energochłonności budynków do zera</w:t>
      </w:r>
      <w:r>
        <w:rPr>
          <w:b/>
          <w:lang w:val="pl-PL"/>
        </w:rPr>
        <w:t xml:space="preserve"> </w:t>
      </w:r>
      <w:r w:rsidR="0070696F">
        <w:rPr>
          <w:b/>
          <w:lang w:val="pl-PL"/>
        </w:rPr>
        <w:t>za</w:t>
      </w:r>
      <w:r w:rsidRPr="00B45097">
        <w:rPr>
          <w:b/>
          <w:lang w:val="pl-PL"/>
        </w:rPr>
        <w:t xml:space="preserve"> kluczowe z punktu widzenia globalnego dążenia do zmniejszenia emisji CO2.</w:t>
      </w:r>
    </w:p>
    <w:p w14:paraId="36946015" w14:textId="68A0C067" w:rsidR="00B45097" w:rsidRPr="00B45097" w:rsidRDefault="00B45097" w:rsidP="00B45097">
      <w:pPr>
        <w:jc w:val="both"/>
        <w:rPr>
          <w:rStyle w:val="q4iawc"/>
          <w:lang w:val="pl-PL"/>
        </w:rPr>
      </w:pPr>
      <w:r w:rsidRPr="00B45097">
        <w:rPr>
          <w:rStyle w:val="q4iawc"/>
          <w:lang w:val="pl-PL"/>
        </w:rPr>
        <w:t>Międzyrządowy Panel ds. Zmian Klimatu ONZ wskazuje konieczność redukcji emisji gazów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cieplarnianych o połowę do 2030 roku i do zera do roku 2050. To dla Polski ogromne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wyzwanie, oznaczające konieczność radykalnego zmniejszenia energochłonności obiektów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budowlanych. W kraju jest ok. 14 milionów budynków, z czego trzy czwarte liczy sobie ponad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30 lat i jest wysoce energochłonne.</w:t>
      </w:r>
    </w:p>
    <w:p w14:paraId="6E992A8D" w14:textId="3924B9CB" w:rsidR="00B45097" w:rsidRDefault="00342282" w:rsidP="00B45097">
      <w:pPr>
        <w:jc w:val="both"/>
        <w:rPr>
          <w:rStyle w:val="q4iawc"/>
          <w:lang w:val="pl-PL"/>
        </w:rPr>
      </w:pPr>
      <w:r>
        <w:rPr>
          <w:rStyle w:val="q4iawc"/>
          <w:lang w:val="pl-PL"/>
        </w:rPr>
        <w:t xml:space="preserve">Jak podają eksperci </w:t>
      </w:r>
      <w:r w:rsidR="0070696F">
        <w:rPr>
          <w:rStyle w:val="q4iawc"/>
          <w:lang w:val="pl-PL"/>
        </w:rPr>
        <w:t>IOŚ-PIB</w:t>
      </w:r>
      <w:bookmarkStart w:id="0" w:name="_GoBack"/>
      <w:bookmarkEnd w:id="0"/>
      <w:r>
        <w:rPr>
          <w:rStyle w:val="q4iawc"/>
          <w:lang w:val="pl-PL"/>
        </w:rPr>
        <w:t>, b</w:t>
      </w:r>
      <w:r w:rsidR="00B45097" w:rsidRPr="00B45097">
        <w:rPr>
          <w:rStyle w:val="q4iawc"/>
          <w:lang w:val="pl-PL"/>
        </w:rPr>
        <w:t>udynki odpowiadają za ok. jedną trzecią krajowych emisji gazów cieplarnianych i zużycie</w:t>
      </w:r>
      <w:r w:rsidR="00B45097">
        <w:rPr>
          <w:rStyle w:val="q4iawc"/>
          <w:lang w:val="pl-PL"/>
        </w:rPr>
        <w:t xml:space="preserve"> </w:t>
      </w:r>
      <w:r w:rsidR="00B45097" w:rsidRPr="00B45097">
        <w:rPr>
          <w:rStyle w:val="q4iawc"/>
          <w:lang w:val="pl-PL"/>
        </w:rPr>
        <w:t>ok. 40 proc. krajowego zapotrzebowania na energię, co kosztuje Polaków ok. 56 miliardów</w:t>
      </w:r>
      <w:r w:rsidR="00B45097">
        <w:rPr>
          <w:rStyle w:val="q4iawc"/>
          <w:lang w:val="pl-PL"/>
        </w:rPr>
        <w:t xml:space="preserve"> </w:t>
      </w:r>
      <w:r w:rsidR="00B45097" w:rsidRPr="00B45097">
        <w:rPr>
          <w:rStyle w:val="q4iawc"/>
          <w:lang w:val="pl-PL"/>
        </w:rPr>
        <w:t xml:space="preserve">zł rocznie. </w:t>
      </w:r>
      <w:r>
        <w:rPr>
          <w:rStyle w:val="q4iawc"/>
          <w:lang w:val="pl-PL"/>
        </w:rPr>
        <w:t>S</w:t>
      </w:r>
      <w:r w:rsidR="00B45097" w:rsidRPr="00B45097">
        <w:rPr>
          <w:rStyle w:val="q4iawc"/>
          <w:lang w:val="pl-PL"/>
        </w:rPr>
        <w:t xml:space="preserve">ą </w:t>
      </w:r>
      <w:r>
        <w:rPr>
          <w:rStyle w:val="q4iawc"/>
          <w:lang w:val="pl-PL"/>
        </w:rPr>
        <w:t xml:space="preserve">one </w:t>
      </w:r>
      <w:r w:rsidR="00B45097" w:rsidRPr="00B45097">
        <w:rPr>
          <w:rStyle w:val="q4iawc"/>
          <w:lang w:val="pl-PL"/>
        </w:rPr>
        <w:t>również jednym z głównych źródeł pyłów tworzących smog</w:t>
      </w:r>
      <w:r w:rsidR="00B45097">
        <w:rPr>
          <w:rStyle w:val="q4iawc"/>
          <w:lang w:val="pl-PL"/>
        </w:rPr>
        <w:t xml:space="preserve"> </w:t>
      </w:r>
      <w:r w:rsidR="00B45097" w:rsidRPr="00B45097">
        <w:rPr>
          <w:rStyle w:val="q4iawc"/>
          <w:lang w:val="pl-PL"/>
        </w:rPr>
        <w:t>w naszym kraju.</w:t>
      </w:r>
    </w:p>
    <w:p w14:paraId="794F8F88" w14:textId="291BB7C1" w:rsidR="00B45097" w:rsidRPr="00B45097" w:rsidRDefault="00B45097" w:rsidP="00B45097">
      <w:pPr>
        <w:jc w:val="both"/>
        <w:rPr>
          <w:rStyle w:val="q4iawc"/>
          <w:lang w:val="pl-PL"/>
        </w:rPr>
      </w:pPr>
      <w:r w:rsidRPr="00B45097">
        <w:rPr>
          <w:rStyle w:val="q4iawc"/>
          <w:lang w:val="pl-PL"/>
        </w:rPr>
        <w:t>Aktualnie prowadzone prace termomodernizacyjne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dają jedynie około 20-procentową oszczędność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energii. To nie wystarczy, aby osiągnąć ambitne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cele – dlatego niezbędny jest DER. Głęboka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termomodernizacja budynku oznacza położenie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na ścianach warstwy izolacji termicznej o grubości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ok. 25 cm, izolacji dachu lub poddasza warstwą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o grubości ok. 40 cm, montaż wentylacji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mechanicznej z odzyskiem ciepła (tzw. rekuperacją)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oraz wymianę okien na energooszczędne, a także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badanie budynku w celu wykrycia ewentualnego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przenikania zimnego powietrza przez nieszczelności.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Kompleksowe podejście do izolacji zmniejszy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zapotrzebowanie budynku na energię o od 50 do 75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procent. Aby osiągnąć efekt synergii, OZE powinny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być instalowane dopiero po gruntownych pracach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termomodernizacyjnych.</w:t>
      </w:r>
    </w:p>
    <w:p w14:paraId="251AFA4B" w14:textId="64166D87" w:rsidR="00B45097" w:rsidRDefault="00B45097" w:rsidP="00B45097">
      <w:pPr>
        <w:jc w:val="both"/>
        <w:rPr>
          <w:rStyle w:val="q4iawc"/>
          <w:lang w:val="pl-PL"/>
        </w:rPr>
      </w:pPr>
      <w:r w:rsidRPr="00B45097">
        <w:rPr>
          <w:rStyle w:val="q4iawc"/>
          <w:lang w:val="pl-PL"/>
        </w:rPr>
        <w:t>W 2021 roku powstała Centralna Ewidencja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Emisyjnoś</w:t>
      </w:r>
      <w:r w:rsidR="00624C31">
        <w:rPr>
          <w:rStyle w:val="q4iawc"/>
          <w:lang w:val="pl-PL"/>
        </w:rPr>
        <w:t xml:space="preserve">ci Budynków (CEEB) – baza ta </w:t>
      </w:r>
      <w:r w:rsidRPr="00B45097">
        <w:rPr>
          <w:rStyle w:val="q4iawc"/>
          <w:lang w:val="pl-PL"/>
        </w:rPr>
        <w:t>zawiera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informacje o źródłach ciepła, a od 2022 r.,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 xml:space="preserve">także o pomocy publicznej udzielonej na termomodernizację. Kolejnym krokiem </w:t>
      </w:r>
      <w:r w:rsidR="00624C31">
        <w:rPr>
          <w:rStyle w:val="q4iawc"/>
          <w:lang w:val="pl-PL"/>
        </w:rPr>
        <w:t>jest</w:t>
      </w:r>
      <w:r w:rsidRPr="00B45097">
        <w:rPr>
          <w:rStyle w:val="q4iawc"/>
          <w:lang w:val="pl-PL"/>
        </w:rPr>
        <w:t xml:space="preserve"> obowiązek składania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przez właścicieli domów deklaracji do CEEB</w:t>
      </w:r>
      <w:r w:rsidR="00624C31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o stosowanym źródle ciepła.</w:t>
      </w:r>
    </w:p>
    <w:p w14:paraId="38B363A0" w14:textId="57BB394F" w:rsidR="00B45097" w:rsidRDefault="00B45097" w:rsidP="00B45097">
      <w:pPr>
        <w:jc w:val="both"/>
        <w:rPr>
          <w:rStyle w:val="q4iawc"/>
          <w:lang w:val="pl-PL"/>
        </w:rPr>
      </w:pPr>
      <w:r w:rsidRPr="00B45097">
        <w:rPr>
          <w:rStyle w:val="q4iawc"/>
          <w:lang w:val="pl-PL"/>
        </w:rPr>
        <w:t xml:space="preserve">W </w:t>
      </w:r>
      <w:r w:rsidR="00342282">
        <w:rPr>
          <w:rStyle w:val="q4iawc"/>
          <w:lang w:val="pl-PL"/>
        </w:rPr>
        <w:t>poprzednich</w:t>
      </w:r>
      <w:r w:rsidR="00624C31">
        <w:rPr>
          <w:rStyle w:val="q4iawc"/>
          <w:lang w:val="pl-PL"/>
        </w:rPr>
        <w:t xml:space="preserve"> latach wydawane było</w:t>
      </w:r>
      <w:r w:rsidRPr="00B45097">
        <w:rPr>
          <w:rStyle w:val="q4iawc"/>
          <w:lang w:val="pl-PL"/>
        </w:rPr>
        <w:t xml:space="preserve"> ok. 200 tys.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pozwoleń na budowę rocznie, połowa dotyczy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domów jednorodzinnych. Pomimo systematycznie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podnoszonych wymagań prawnych w zakresie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energochłonności nowych budynków, w skali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najbliższych 30 lat koszty energii będą wciąż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stanowiły około jedn</w:t>
      </w:r>
      <w:r w:rsidR="00624C31">
        <w:rPr>
          <w:rStyle w:val="q4iawc"/>
          <w:lang w:val="pl-PL"/>
        </w:rPr>
        <w:t xml:space="preserve">ą trzecią </w:t>
      </w:r>
      <w:r w:rsidRPr="00B45097">
        <w:rPr>
          <w:rStyle w:val="q4iawc"/>
          <w:lang w:val="pl-PL"/>
        </w:rPr>
        <w:t>całkowitych kosztów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utrzymania takich nieruchomości. Wzrośnie więc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popularność budynków klasy NZEB (o „niemal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zerowym zapotrzebowaniu na energię”) i pasywnych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(w których komfort cieplny zapewnia wykorzystanie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pasywnych źródeł ciepła), w miejsce obiektów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energooszczędnych.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Warto podkreślić, że w odpowiedzi na te wyzwania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Narodowy Fundusz Ochrony Środowiska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i Gospodarki Wodnej wspiera finansowo prace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 xml:space="preserve">termomodernizacyjne w programie </w:t>
      </w:r>
      <w:r w:rsidR="00ED7661">
        <w:rPr>
          <w:rStyle w:val="q4iawc"/>
          <w:lang w:val="pl-PL"/>
        </w:rPr>
        <w:t>„</w:t>
      </w:r>
      <w:r w:rsidRPr="00B45097">
        <w:rPr>
          <w:rStyle w:val="q4iawc"/>
          <w:lang w:val="pl-PL"/>
        </w:rPr>
        <w:t>Czyste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Powietrze</w:t>
      </w:r>
      <w:r w:rsidR="00ED7661">
        <w:rPr>
          <w:rStyle w:val="q4iawc"/>
          <w:lang w:val="pl-PL"/>
        </w:rPr>
        <w:t>”</w:t>
      </w:r>
      <w:r w:rsidRPr="00B45097">
        <w:rPr>
          <w:rStyle w:val="q4iawc"/>
          <w:lang w:val="pl-PL"/>
        </w:rPr>
        <w:t xml:space="preserve"> i dofinansowuje wymianę źródeł ciepła</w:t>
      </w:r>
      <w:r>
        <w:rPr>
          <w:rStyle w:val="q4iawc"/>
          <w:lang w:val="pl-PL"/>
        </w:rPr>
        <w:t xml:space="preserve"> </w:t>
      </w:r>
      <w:r w:rsidR="00ED7661">
        <w:rPr>
          <w:rStyle w:val="q4iawc"/>
          <w:lang w:val="pl-PL"/>
        </w:rPr>
        <w:t>w programie „Stop Smog”</w:t>
      </w:r>
      <w:r w:rsidRPr="00B45097">
        <w:rPr>
          <w:rStyle w:val="q4iawc"/>
          <w:lang w:val="pl-PL"/>
        </w:rPr>
        <w:t>. Kolejnym mechanizmem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wsparcia jest ulga termomodernizacyjna.</w:t>
      </w:r>
    </w:p>
    <w:p w14:paraId="62DFE031" w14:textId="13A24D83" w:rsidR="00B45097" w:rsidRDefault="00B45097" w:rsidP="00B45097">
      <w:pPr>
        <w:jc w:val="both"/>
        <w:rPr>
          <w:rStyle w:val="q4iawc"/>
          <w:lang w:val="pl-PL"/>
        </w:rPr>
      </w:pPr>
      <w:r w:rsidRPr="00B45097">
        <w:rPr>
          <w:rStyle w:val="q4iawc"/>
          <w:lang w:val="pl-PL"/>
        </w:rPr>
        <w:lastRenderedPageBreak/>
        <w:t>Więcej informacji o mechanizmach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 xml:space="preserve">wsparcia termomodernizacji </w:t>
      </w:r>
      <w:r>
        <w:rPr>
          <w:rStyle w:val="q4iawc"/>
          <w:lang w:val="pl-PL"/>
        </w:rPr>
        <w:t xml:space="preserve">można znaleźć </w:t>
      </w:r>
      <w:r w:rsidRPr="00B45097">
        <w:rPr>
          <w:rStyle w:val="q4iawc"/>
          <w:lang w:val="pl-PL"/>
        </w:rPr>
        <w:t>m.in. na stronach wojewódzkich ośrodków</w:t>
      </w:r>
      <w:r>
        <w:rPr>
          <w:rStyle w:val="q4iawc"/>
          <w:lang w:val="pl-PL"/>
        </w:rPr>
        <w:t xml:space="preserve"> </w:t>
      </w:r>
      <w:r w:rsidRPr="00B45097">
        <w:rPr>
          <w:rStyle w:val="q4iawc"/>
          <w:lang w:val="pl-PL"/>
        </w:rPr>
        <w:t>funduszu ochrony środowiska</w:t>
      </w:r>
      <w:r>
        <w:rPr>
          <w:rStyle w:val="q4iawc"/>
          <w:lang w:val="pl-PL"/>
        </w:rPr>
        <w:t xml:space="preserve"> i gospodarki wodnej oraz na stronie Narodowego Funduszu Ochrony Środowiska i Gospodarki Wodnej</w:t>
      </w:r>
      <w:r w:rsidRPr="00B45097">
        <w:rPr>
          <w:rStyle w:val="q4iawc"/>
          <w:lang w:val="pl-PL"/>
        </w:rPr>
        <w:t>:</w:t>
      </w:r>
      <w:r>
        <w:rPr>
          <w:rStyle w:val="q4iawc"/>
          <w:lang w:val="pl-PL"/>
        </w:rPr>
        <w:t xml:space="preserve"> </w:t>
      </w:r>
      <w:hyperlink r:id="rId8" w:history="1">
        <w:r w:rsidR="00ED7661" w:rsidRPr="00373C01">
          <w:rPr>
            <w:rStyle w:val="Hipercze"/>
            <w:lang w:val="pl-PL"/>
          </w:rPr>
          <w:t>https://www.nfosigw.gov.pl/</w:t>
        </w:r>
      </w:hyperlink>
    </w:p>
    <w:p w14:paraId="16026A7B" w14:textId="3F8FE776" w:rsidR="00ED7661" w:rsidRDefault="00ED7661" w:rsidP="00B45097">
      <w:pPr>
        <w:jc w:val="both"/>
        <w:rPr>
          <w:rStyle w:val="q4iawc"/>
          <w:lang w:val="pl-PL"/>
        </w:rPr>
      </w:pPr>
      <w:r>
        <w:rPr>
          <w:rStyle w:val="q4iawc"/>
          <w:lang w:val="pl-PL"/>
        </w:rPr>
        <w:t xml:space="preserve">Więcej informacji na temat sposób na ograniczenie zużycia energii można znaleźć na stronie kampanii Ministerstwa Klimatu i Środowiska: </w:t>
      </w:r>
      <w:hyperlink r:id="rId9" w:history="1">
        <w:r w:rsidRPr="00ED7661">
          <w:rPr>
            <w:rStyle w:val="Hipercze"/>
            <w:lang w:val="pl-PL"/>
          </w:rPr>
          <w:t>energieoszczedzamy.gov.pl</w:t>
        </w:r>
      </w:hyperlink>
      <w:r>
        <w:rPr>
          <w:rStyle w:val="q4iawc"/>
          <w:lang w:val="pl-PL"/>
        </w:rPr>
        <w:t xml:space="preserve"> </w:t>
      </w:r>
    </w:p>
    <w:sectPr w:rsidR="00ED7661" w:rsidSect="00522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1787" w14:textId="77777777" w:rsidR="009E3E96" w:rsidRDefault="009E3E96" w:rsidP="004024BF">
      <w:r>
        <w:separator/>
      </w:r>
    </w:p>
    <w:p w14:paraId="302C8084" w14:textId="77777777" w:rsidR="009E3E96" w:rsidRDefault="009E3E96"/>
  </w:endnote>
  <w:endnote w:type="continuationSeparator" w:id="0">
    <w:p w14:paraId="7C02F2EA" w14:textId="77777777" w:rsidR="009E3E96" w:rsidRDefault="009E3E96" w:rsidP="004024BF">
      <w:r>
        <w:continuationSeparator/>
      </w:r>
    </w:p>
    <w:p w14:paraId="182DF1EC" w14:textId="77777777" w:rsidR="009E3E96" w:rsidRDefault="009E3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808662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B02201" w14:textId="77777777" w:rsidR="0064567B" w:rsidRDefault="0064567B" w:rsidP="00204FB2">
    <w:pPr>
      <w:pStyle w:val="Stopka"/>
      <w:ind w:right="360"/>
    </w:pPr>
  </w:p>
  <w:p w14:paraId="0B1544BD" w14:textId="77777777" w:rsidR="0064567B" w:rsidRDefault="0064567B"/>
  <w:p w14:paraId="49FAC39D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1404DC90" w14:textId="22FAD837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70696F">
          <w:rPr>
            <w:rStyle w:val="Numerstrony"/>
            <w:sz w:val="16"/>
            <w:szCs w:val="16"/>
          </w:rPr>
          <w:t>1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198E47DF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02842A34" wp14:editId="2353BB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6A81" w14:textId="77777777" w:rsidR="00522D0C" w:rsidRDefault="0052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DCBD" w14:textId="77777777" w:rsidR="009E3E96" w:rsidRDefault="009E3E96" w:rsidP="004024BF">
      <w:r>
        <w:separator/>
      </w:r>
    </w:p>
    <w:p w14:paraId="2DE72217" w14:textId="77777777" w:rsidR="009E3E96" w:rsidRDefault="009E3E96"/>
  </w:footnote>
  <w:footnote w:type="continuationSeparator" w:id="0">
    <w:p w14:paraId="68123B60" w14:textId="77777777" w:rsidR="009E3E96" w:rsidRDefault="009E3E96" w:rsidP="004024BF">
      <w:r>
        <w:continuationSeparator/>
      </w:r>
    </w:p>
    <w:p w14:paraId="1E7CD00E" w14:textId="77777777" w:rsidR="009E3E96" w:rsidRDefault="009E3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62CB" w14:textId="77777777" w:rsidR="00522D0C" w:rsidRDefault="0052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BE27" w14:textId="77777777"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C85D87E" wp14:editId="55CF0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332C" w14:textId="77777777" w:rsidR="00522D0C" w:rsidRDefault="0052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2A5"/>
    <w:multiLevelType w:val="hybridMultilevel"/>
    <w:tmpl w:val="AACA8F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F1F0A"/>
    <w:multiLevelType w:val="hybridMultilevel"/>
    <w:tmpl w:val="F35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70D77"/>
    <w:multiLevelType w:val="hybridMultilevel"/>
    <w:tmpl w:val="9A7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7"/>
  </w:num>
  <w:num w:numId="4">
    <w:abstractNumId w:val="33"/>
  </w:num>
  <w:num w:numId="5">
    <w:abstractNumId w:val="12"/>
  </w:num>
  <w:num w:numId="6">
    <w:abstractNumId w:val="37"/>
  </w:num>
  <w:num w:numId="7">
    <w:abstractNumId w:val="28"/>
  </w:num>
  <w:num w:numId="8">
    <w:abstractNumId w:val="48"/>
  </w:num>
  <w:num w:numId="9">
    <w:abstractNumId w:val="31"/>
  </w:num>
  <w:num w:numId="10">
    <w:abstractNumId w:val="18"/>
  </w:num>
  <w:num w:numId="11">
    <w:abstractNumId w:val="23"/>
  </w:num>
  <w:num w:numId="12">
    <w:abstractNumId w:val="15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4"/>
  </w:num>
  <w:num w:numId="18">
    <w:abstractNumId w:val="7"/>
  </w:num>
  <w:num w:numId="19">
    <w:abstractNumId w:val="34"/>
  </w:num>
  <w:num w:numId="20">
    <w:abstractNumId w:val="2"/>
  </w:num>
  <w:num w:numId="21">
    <w:abstractNumId w:val="50"/>
  </w:num>
  <w:num w:numId="22">
    <w:abstractNumId w:val="32"/>
  </w:num>
  <w:num w:numId="23">
    <w:abstractNumId w:val="16"/>
  </w:num>
  <w:num w:numId="24">
    <w:abstractNumId w:val="39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5"/>
  </w:num>
  <w:num w:numId="31">
    <w:abstractNumId w:val="52"/>
  </w:num>
  <w:num w:numId="32">
    <w:abstractNumId w:val="45"/>
  </w:num>
  <w:num w:numId="33">
    <w:abstractNumId w:val="14"/>
  </w:num>
  <w:num w:numId="34">
    <w:abstractNumId w:val="5"/>
  </w:num>
  <w:num w:numId="35">
    <w:abstractNumId w:val="30"/>
  </w:num>
  <w:num w:numId="36">
    <w:abstractNumId w:val="9"/>
  </w:num>
  <w:num w:numId="37">
    <w:abstractNumId w:val="13"/>
  </w:num>
  <w:num w:numId="38">
    <w:abstractNumId w:val="4"/>
  </w:num>
  <w:num w:numId="39">
    <w:abstractNumId w:val="51"/>
  </w:num>
  <w:num w:numId="40">
    <w:abstractNumId w:val="35"/>
  </w:num>
  <w:num w:numId="41">
    <w:abstractNumId w:val="46"/>
  </w:num>
  <w:num w:numId="42">
    <w:abstractNumId w:val="0"/>
  </w:num>
  <w:num w:numId="43">
    <w:abstractNumId w:val="22"/>
  </w:num>
  <w:num w:numId="44">
    <w:abstractNumId w:val="42"/>
  </w:num>
  <w:num w:numId="45">
    <w:abstractNumId w:val="29"/>
  </w:num>
  <w:num w:numId="46">
    <w:abstractNumId w:val="49"/>
  </w:num>
  <w:num w:numId="47">
    <w:abstractNumId w:val="44"/>
  </w:num>
  <w:num w:numId="48">
    <w:abstractNumId w:val="24"/>
  </w:num>
  <w:num w:numId="49">
    <w:abstractNumId w:val="38"/>
  </w:num>
  <w:num w:numId="50">
    <w:abstractNumId w:val="3"/>
  </w:num>
  <w:num w:numId="51">
    <w:abstractNumId w:val="40"/>
  </w:num>
  <w:num w:numId="52">
    <w:abstractNumId w:val="11"/>
  </w:num>
  <w:num w:numId="53">
    <w:abstractNumId w:val="53"/>
  </w:num>
  <w:num w:numId="54">
    <w:abstractNumId w:val="43"/>
  </w:num>
  <w:num w:numId="55">
    <w:abstractNumId w:val="10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0"/>
    <w:rsid w:val="00007894"/>
    <w:rsid w:val="00010505"/>
    <w:rsid w:val="000125F3"/>
    <w:rsid w:val="000127FD"/>
    <w:rsid w:val="0001314E"/>
    <w:rsid w:val="00052362"/>
    <w:rsid w:val="0007062B"/>
    <w:rsid w:val="000729AC"/>
    <w:rsid w:val="00083465"/>
    <w:rsid w:val="00097A2F"/>
    <w:rsid w:val="000D752E"/>
    <w:rsid w:val="00101E83"/>
    <w:rsid w:val="00182DB5"/>
    <w:rsid w:val="001958D7"/>
    <w:rsid w:val="001D0AC0"/>
    <w:rsid w:val="001D24FC"/>
    <w:rsid w:val="001F53F2"/>
    <w:rsid w:val="00204FB2"/>
    <w:rsid w:val="00214ECD"/>
    <w:rsid w:val="00276A21"/>
    <w:rsid w:val="002817CB"/>
    <w:rsid w:val="00285B89"/>
    <w:rsid w:val="00290668"/>
    <w:rsid w:val="002B607B"/>
    <w:rsid w:val="002B7CBE"/>
    <w:rsid w:val="002C51EB"/>
    <w:rsid w:val="002D1AF2"/>
    <w:rsid w:val="002D7225"/>
    <w:rsid w:val="002E0BE4"/>
    <w:rsid w:val="00342282"/>
    <w:rsid w:val="00347BF9"/>
    <w:rsid w:val="0035441F"/>
    <w:rsid w:val="0036627F"/>
    <w:rsid w:val="003809AD"/>
    <w:rsid w:val="00391462"/>
    <w:rsid w:val="003A254E"/>
    <w:rsid w:val="003B1DA8"/>
    <w:rsid w:val="003D0830"/>
    <w:rsid w:val="003F1554"/>
    <w:rsid w:val="004024BF"/>
    <w:rsid w:val="00410DFA"/>
    <w:rsid w:val="004152C3"/>
    <w:rsid w:val="00427597"/>
    <w:rsid w:val="00430775"/>
    <w:rsid w:val="00447FD4"/>
    <w:rsid w:val="00465154"/>
    <w:rsid w:val="00474D1C"/>
    <w:rsid w:val="004953D2"/>
    <w:rsid w:val="004A6403"/>
    <w:rsid w:val="004C06E5"/>
    <w:rsid w:val="004C3901"/>
    <w:rsid w:val="004E6D67"/>
    <w:rsid w:val="0052258B"/>
    <w:rsid w:val="00522D0C"/>
    <w:rsid w:val="00522D83"/>
    <w:rsid w:val="005278CF"/>
    <w:rsid w:val="00534D6B"/>
    <w:rsid w:val="00562477"/>
    <w:rsid w:val="00562694"/>
    <w:rsid w:val="00575344"/>
    <w:rsid w:val="005A11D4"/>
    <w:rsid w:val="005C5BC9"/>
    <w:rsid w:val="005C6688"/>
    <w:rsid w:val="005D11D6"/>
    <w:rsid w:val="005D13EA"/>
    <w:rsid w:val="005D3660"/>
    <w:rsid w:val="005F1C15"/>
    <w:rsid w:val="006015DF"/>
    <w:rsid w:val="00624C31"/>
    <w:rsid w:val="00631B72"/>
    <w:rsid w:val="0064567B"/>
    <w:rsid w:val="00670BE4"/>
    <w:rsid w:val="006C36D0"/>
    <w:rsid w:val="006C4D14"/>
    <w:rsid w:val="006D1F76"/>
    <w:rsid w:val="006E60B0"/>
    <w:rsid w:val="00701769"/>
    <w:rsid w:val="0070696F"/>
    <w:rsid w:val="007136FD"/>
    <w:rsid w:val="00714C9B"/>
    <w:rsid w:val="007163EB"/>
    <w:rsid w:val="0073446C"/>
    <w:rsid w:val="00736598"/>
    <w:rsid w:val="007428DF"/>
    <w:rsid w:val="00750F9C"/>
    <w:rsid w:val="00751E99"/>
    <w:rsid w:val="007562E4"/>
    <w:rsid w:val="0077122C"/>
    <w:rsid w:val="00783424"/>
    <w:rsid w:val="007E1966"/>
    <w:rsid w:val="007F0698"/>
    <w:rsid w:val="0080586C"/>
    <w:rsid w:val="008076C7"/>
    <w:rsid w:val="00831E6F"/>
    <w:rsid w:val="0084358C"/>
    <w:rsid w:val="008A0694"/>
    <w:rsid w:val="008A316F"/>
    <w:rsid w:val="008E13E2"/>
    <w:rsid w:val="008E24BB"/>
    <w:rsid w:val="008F6606"/>
    <w:rsid w:val="008F6D62"/>
    <w:rsid w:val="00970ED1"/>
    <w:rsid w:val="00982EDD"/>
    <w:rsid w:val="009941DD"/>
    <w:rsid w:val="009A02B7"/>
    <w:rsid w:val="009A1DBF"/>
    <w:rsid w:val="009A2E5B"/>
    <w:rsid w:val="009A7600"/>
    <w:rsid w:val="009B445D"/>
    <w:rsid w:val="009C5C25"/>
    <w:rsid w:val="009C64AA"/>
    <w:rsid w:val="009C7B88"/>
    <w:rsid w:val="009E2381"/>
    <w:rsid w:val="009E3E96"/>
    <w:rsid w:val="00A07097"/>
    <w:rsid w:val="00A13978"/>
    <w:rsid w:val="00A15001"/>
    <w:rsid w:val="00A2283D"/>
    <w:rsid w:val="00A46C0E"/>
    <w:rsid w:val="00A63EC0"/>
    <w:rsid w:val="00A73842"/>
    <w:rsid w:val="00A8395F"/>
    <w:rsid w:val="00A83DF1"/>
    <w:rsid w:val="00A955A7"/>
    <w:rsid w:val="00AD5B43"/>
    <w:rsid w:val="00AE2CAD"/>
    <w:rsid w:val="00AE486A"/>
    <w:rsid w:val="00B0087E"/>
    <w:rsid w:val="00B07FD7"/>
    <w:rsid w:val="00B249FA"/>
    <w:rsid w:val="00B378FC"/>
    <w:rsid w:val="00B45097"/>
    <w:rsid w:val="00B74040"/>
    <w:rsid w:val="00B75A5E"/>
    <w:rsid w:val="00B75B5C"/>
    <w:rsid w:val="00B82F7A"/>
    <w:rsid w:val="00B8355A"/>
    <w:rsid w:val="00BA3FD9"/>
    <w:rsid w:val="00BA6BD0"/>
    <w:rsid w:val="00BB0030"/>
    <w:rsid w:val="00BB6633"/>
    <w:rsid w:val="00BC0080"/>
    <w:rsid w:val="00BE4395"/>
    <w:rsid w:val="00C015DD"/>
    <w:rsid w:val="00C1524C"/>
    <w:rsid w:val="00C35F6A"/>
    <w:rsid w:val="00C36446"/>
    <w:rsid w:val="00C41ADD"/>
    <w:rsid w:val="00C64F4D"/>
    <w:rsid w:val="00C70A1F"/>
    <w:rsid w:val="00C77C6E"/>
    <w:rsid w:val="00C805BD"/>
    <w:rsid w:val="00C94222"/>
    <w:rsid w:val="00CA66E3"/>
    <w:rsid w:val="00CE0592"/>
    <w:rsid w:val="00CF073A"/>
    <w:rsid w:val="00CF46D5"/>
    <w:rsid w:val="00D05555"/>
    <w:rsid w:val="00D47B49"/>
    <w:rsid w:val="00DB2488"/>
    <w:rsid w:val="00DD61ED"/>
    <w:rsid w:val="00DE30F8"/>
    <w:rsid w:val="00DE460B"/>
    <w:rsid w:val="00E152D0"/>
    <w:rsid w:val="00E84976"/>
    <w:rsid w:val="00E8790C"/>
    <w:rsid w:val="00E95028"/>
    <w:rsid w:val="00EA054C"/>
    <w:rsid w:val="00EA736F"/>
    <w:rsid w:val="00EB7156"/>
    <w:rsid w:val="00ED1604"/>
    <w:rsid w:val="00ED7661"/>
    <w:rsid w:val="00F30DFB"/>
    <w:rsid w:val="00F32AB3"/>
    <w:rsid w:val="00F34D14"/>
    <w:rsid w:val="00F518B3"/>
    <w:rsid w:val="00F637D0"/>
    <w:rsid w:val="00F71EE6"/>
    <w:rsid w:val="00FB5DE6"/>
    <w:rsid w:val="00FC21A3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1F56"/>
  <w15:chartTrackingRefBased/>
  <w15:docId w15:val="{E36AF222-1082-4503-8DBF-74C9F48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aliases w:val="-E Fuﬂnotentext,Fuﬂnotentext Ursprung,footnote text,Fußnotentext Ursprung,-E Fußnotentext,Podrozdział,Tekst przypisu,Przypis,Footnote,Podrozdzia3,-E Fußnotentext1,-E Fußnotentext2,-E Fußnotentext3,Footnote Text Char1,Plo,fn,o,Char"/>
    <w:basedOn w:val="Normalny"/>
    <w:link w:val="TekstprzypisudolnegoZnak"/>
    <w:uiPriority w:val="99"/>
    <w:unhideWhenUsed/>
    <w:qFormat/>
    <w:rsid w:val="00ED16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-E Fuﬂnotentext Znak,Fuﬂnotentext Ursprung Znak,footnote text Znak,Fußnotentext Ursprung Znak,-E Fußnotentext Znak,Podrozdział Znak,Tekst przypisu Znak,Przypis Znak,Footnote Znak,Podrozdzia3 Znak,-E Fußnotentext1 Znak,fn Znak"/>
    <w:basedOn w:val="Domylnaczcionkaakapitu"/>
    <w:link w:val="Tekstprzypisudolnego"/>
    <w:uiPriority w:val="99"/>
    <w:qFormat/>
    <w:rsid w:val="00ED1604"/>
    <w:rPr>
      <w:color w:val="0D004B" w:themeColor="text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604"/>
    <w:rPr>
      <w:vertAlign w:val="superscript"/>
    </w:rPr>
  </w:style>
  <w:style w:type="character" w:customStyle="1" w:styleId="q4iawc">
    <w:name w:val="q4iawc"/>
    <w:basedOn w:val="Domylnaczcionkaakapitu"/>
    <w:rsid w:val="007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osigw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nergieoszczedzamy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Materia&#322;y%20aran&#380;owane\Wp&#322;yw%20podr&#243;zy%20lotniczych%20na%20klimat_IO&#346;-PIB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A3BE9-3DBA-4DE5-8342-4B61D14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Wpływ podrózy lotniczych na klimat_IOŚ-PIB</Template>
  <TotalTime>32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Pasikowska Katarzyna</cp:lastModifiedBy>
  <cp:revision>11</cp:revision>
  <cp:lastPrinted>2021-01-28T14:02:00Z</cp:lastPrinted>
  <dcterms:created xsi:type="dcterms:W3CDTF">2022-09-21T14:46:00Z</dcterms:created>
  <dcterms:modified xsi:type="dcterms:W3CDTF">2022-10-12T08:28:00Z</dcterms:modified>
</cp:coreProperties>
</file>