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986D1" w14:textId="045467FE" w:rsidR="00EC345B" w:rsidRPr="00EC345B" w:rsidRDefault="00EC345B" w:rsidP="00EC345B">
      <w:pPr>
        <w:jc w:val="right"/>
        <w:rPr>
          <w:color w:val="0F243E" w:themeColor="text2" w:themeShade="80"/>
        </w:rPr>
      </w:pPr>
      <w:r w:rsidRPr="00EC345B">
        <w:rPr>
          <w:color w:val="0F243E" w:themeColor="text2" w:themeShade="80"/>
        </w:rPr>
        <w:t xml:space="preserve">Warszawa, </w:t>
      </w:r>
      <w:r>
        <w:rPr>
          <w:color w:val="0F243E" w:themeColor="text2" w:themeShade="80"/>
        </w:rPr>
        <w:t>kwiecień 2023</w:t>
      </w:r>
    </w:p>
    <w:p w14:paraId="2935CB61" w14:textId="77777777" w:rsidR="00EC345B" w:rsidRPr="00EC345B" w:rsidRDefault="00EC345B" w:rsidP="00EC345B">
      <w:pPr>
        <w:rPr>
          <w:color w:val="0F243E" w:themeColor="text2" w:themeShade="80"/>
        </w:rPr>
      </w:pPr>
    </w:p>
    <w:p w14:paraId="69AB757F" w14:textId="458D0EC5" w:rsidR="00EC345B" w:rsidRPr="004D3D11" w:rsidRDefault="00EC345B" w:rsidP="00EC345B">
      <w:pPr>
        <w:jc w:val="center"/>
        <w:rPr>
          <w:b/>
          <w:bCs/>
          <w:color w:val="0F243E" w:themeColor="text2" w:themeShade="80"/>
        </w:rPr>
      </w:pPr>
      <w:r w:rsidRPr="004D3D11">
        <w:rPr>
          <w:b/>
          <w:bCs/>
          <w:color w:val="0F243E" w:themeColor="text2" w:themeShade="80"/>
        </w:rPr>
        <w:t xml:space="preserve">Społeczne skutki przejścia UE do gospodarki neutralnej klimatycznie oraz wybrane instrumenty ich łagodzenia w ramach sprawiedliwej transformacji (tzw. Just </w:t>
      </w:r>
      <w:proofErr w:type="spellStart"/>
      <w:r w:rsidRPr="004D3D11">
        <w:rPr>
          <w:b/>
          <w:bCs/>
          <w:color w:val="0F243E" w:themeColor="text2" w:themeShade="80"/>
        </w:rPr>
        <w:t>Transition</w:t>
      </w:r>
      <w:proofErr w:type="spellEnd"/>
      <w:r w:rsidRPr="004D3D11">
        <w:rPr>
          <w:b/>
          <w:bCs/>
          <w:color w:val="0F243E" w:themeColor="text2" w:themeShade="80"/>
        </w:rPr>
        <w:t>)</w:t>
      </w:r>
    </w:p>
    <w:p w14:paraId="4F7C7914" w14:textId="77777777" w:rsidR="00EC345B" w:rsidRPr="004D3D11" w:rsidRDefault="00EC345B" w:rsidP="00EC345B">
      <w:pPr>
        <w:jc w:val="center"/>
        <w:rPr>
          <w:color w:val="0F243E" w:themeColor="text2" w:themeShade="80"/>
        </w:rPr>
      </w:pPr>
    </w:p>
    <w:p w14:paraId="32FAED85" w14:textId="234C8370" w:rsidR="00EC345B" w:rsidRPr="004D3D11" w:rsidRDefault="00EC345B" w:rsidP="00EC345B">
      <w:pPr>
        <w:jc w:val="both"/>
        <w:rPr>
          <w:b/>
          <w:bCs/>
          <w:color w:val="0F243E" w:themeColor="text2" w:themeShade="80"/>
        </w:rPr>
      </w:pPr>
      <w:r w:rsidRPr="004D3D11">
        <w:rPr>
          <w:b/>
          <w:bCs/>
          <w:color w:val="0F243E" w:themeColor="text2" w:themeShade="80"/>
        </w:rPr>
        <w:t>Streszczenie</w:t>
      </w:r>
    </w:p>
    <w:p w14:paraId="495B18DC" w14:textId="72431A15" w:rsidR="00EC345B" w:rsidRPr="004D3D11" w:rsidRDefault="00EC345B" w:rsidP="00EC345B">
      <w:pPr>
        <w:jc w:val="both"/>
        <w:rPr>
          <w:bCs/>
          <w:color w:val="0F243E" w:themeColor="text2" w:themeShade="80"/>
        </w:rPr>
      </w:pPr>
      <w:r w:rsidRPr="004D3D11">
        <w:rPr>
          <w:bCs/>
          <w:color w:val="0F243E" w:themeColor="text2" w:themeShade="80"/>
        </w:rPr>
        <w:t>W artykule zestawiono wyniki analizy wpływu</w:t>
      </w:r>
      <w:r w:rsidRPr="004D3D11">
        <w:rPr>
          <w:bCs/>
          <w:color w:val="0F243E" w:themeColor="text2" w:themeShade="80"/>
        </w:rPr>
        <w:t xml:space="preserve"> </w:t>
      </w:r>
      <w:r w:rsidRPr="004D3D11">
        <w:rPr>
          <w:bCs/>
          <w:color w:val="0F243E" w:themeColor="text2" w:themeShade="80"/>
        </w:rPr>
        <w:t>transformacji w kierunku neutralności klimatycznej na sektor zatrudnienia z wspólnotowymi</w:t>
      </w:r>
      <w:r w:rsidRPr="004D3D11">
        <w:rPr>
          <w:bCs/>
          <w:color w:val="0F243E" w:themeColor="text2" w:themeShade="80"/>
        </w:rPr>
        <w:t xml:space="preserve"> </w:t>
      </w:r>
      <w:r w:rsidRPr="004D3D11">
        <w:rPr>
          <w:bCs/>
          <w:color w:val="0F243E" w:themeColor="text2" w:themeShade="80"/>
        </w:rPr>
        <w:t>instrumentami wsparcia w kontekście kosztów</w:t>
      </w:r>
      <w:r w:rsidRPr="004D3D11">
        <w:rPr>
          <w:bCs/>
          <w:color w:val="0F243E" w:themeColor="text2" w:themeShade="80"/>
        </w:rPr>
        <w:t xml:space="preserve"> </w:t>
      </w:r>
      <w:r w:rsidRPr="004D3D11">
        <w:rPr>
          <w:bCs/>
          <w:color w:val="0F243E" w:themeColor="text2" w:themeShade="80"/>
        </w:rPr>
        <w:t>tych zmian. Opisano założenia i metodę analizy</w:t>
      </w:r>
      <w:r w:rsidRPr="004D3D11">
        <w:rPr>
          <w:bCs/>
          <w:color w:val="0F243E" w:themeColor="text2" w:themeShade="80"/>
        </w:rPr>
        <w:t xml:space="preserve"> </w:t>
      </w:r>
      <w:r w:rsidRPr="004D3D11">
        <w:rPr>
          <w:bCs/>
          <w:color w:val="0F243E" w:themeColor="text2" w:themeShade="80"/>
        </w:rPr>
        <w:t>przeprowadzonej na modelach zbudowanych</w:t>
      </w:r>
      <w:r w:rsidRPr="004D3D11">
        <w:rPr>
          <w:bCs/>
          <w:color w:val="0F243E" w:themeColor="text2" w:themeShade="80"/>
        </w:rPr>
        <w:t xml:space="preserve"> </w:t>
      </w:r>
      <w:r w:rsidRPr="004D3D11">
        <w:rPr>
          <w:bCs/>
          <w:color w:val="0F243E" w:themeColor="text2" w:themeShade="80"/>
        </w:rPr>
        <w:t>w Centrum Analiz Klimatyczno-Energetycznych</w:t>
      </w:r>
      <w:r w:rsidRPr="004D3D11">
        <w:rPr>
          <w:bCs/>
          <w:color w:val="0F243E" w:themeColor="text2" w:themeShade="80"/>
        </w:rPr>
        <w:t xml:space="preserve"> </w:t>
      </w:r>
      <w:r w:rsidRPr="004D3D11">
        <w:rPr>
          <w:bCs/>
          <w:color w:val="0F243E" w:themeColor="text2" w:themeShade="80"/>
        </w:rPr>
        <w:t xml:space="preserve">(CAKE) oraz przedstawiono mechanizmy i skalę narzędzi wspomagających wysiłek transformacyjny, w tym Fundusz Sprawiedliwej Transformacji, program </w:t>
      </w:r>
      <w:proofErr w:type="spellStart"/>
      <w:r w:rsidRPr="004D3D11">
        <w:rPr>
          <w:bCs/>
          <w:color w:val="0F243E" w:themeColor="text2" w:themeShade="80"/>
        </w:rPr>
        <w:t>InvestEU</w:t>
      </w:r>
      <w:proofErr w:type="spellEnd"/>
      <w:r w:rsidRPr="004D3D11">
        <w:rPr>
          <w:bCs/>
          <w:color w:val="0F243E" w:themeColor="text2" w:themeShade="80"/>
        </w:rPr>
        <w:t xml:space="preserve"> oraz instrument</w:t>
      </w:r>
      <w:r w:rsidRPr="004D3D11">
        <w:rPr>
          <w:bCs/>
          <w:color w:val="0F243E" w:themeColor="text2" w:themeShade="80"/>
        </w:rPr>
        <w:t xml:space="preserve"> </w:t>
      </w:r>
      <w:r w:rsidRPr="004D3D11">
        <w:rPr>
          <w:bCs/>
          <w:color w:val="0F243E" w:themeColor="text2" w:themeShade="80"/>
        </w:rPr>
        <w:t>pożyczkowy. Artykuł pokazuje, iż o ile wspólnotowe narzędzia wsparcia w znaczącym stopniu</w:t>
      </w:r>
      <w:r w:rsidRPr="004D3D11">
        <w:rPr>
          <w:bCs/>
          <w:color w:val="0F243E" w:themeColor="text2" w:themeShade="80"/>
        </w:rPr>
        <w:t xml:space="preserve"> </w:t>
      </w:r>
      <w:r w:rsidRPr="004D3D11">
        <w:rPr>
          <w:bCs/>
          <w:color w:val="0F243E" w:themeColor="text2" w:themeShade="80"/>
        </w:rPr>
        <w:t>odpowiadają skali niezbędnego wysiłku w perspektywie niespełna dekady, o tyle konieczne</w:t>
      </w:r>
      <w:r w:rsidRPr="004D3D11">
        <w:rPr>
          <w:bCs/>
          <w:color w:val="0F243E" w:themeColor="text2" w:themeShade="80"/>
        </w:rPr>
        <w:t xml:space="preserve"> </w:t>
      </w:r>
      <w:r w:rsidRPr="004D3D11">
        <w:rPr>
          <w:bCs/>
          <w:color w:val="0F243E" w:themeColor="text2" w:themeShade="80"/>
        </w:rPr>
        <w:t>jest utrzymanie obecnych lub podobnych mechanizmów w kolejnych dekadach, ponieważ</w:t>
      </w:r>
      <w:r w:rsidRPr="004D3D11">
        <w:rPr>
          <w:bCs/>
          <w:color w:val="0F243E" w:themeColor="text2" w:themeShade="80"/>
        </w:rPr>
        <w:t xml:space="preserve"> </w:t>
      </w:r>
      <w:r w:rsidRPr="004D3D11">
        <w:rPr>
          <w:bCs/>
          <w:color w:val="0F243E" w:themeColor="text2" w:themeShade="80"/>
        </w:rPr>
        <w:t>analiza jasno pokazuje, iż koszty transformacji</w:t>
      </w:r>
      <w:r w:rsidRPr="004D3D11">
        <w:rPr>
          <w:bCs/>
          <w:color w:val="0F243E" w:themeColor="text2" w:themeShade="80"/>
        </w:rPr>
        <w:t xml:space="preserve"> </w:t>
      </w:r>
      <w:r w:rsidRPr="004D3D11">
        <w:rPr>
          <w:bCs/>
          <w:color w:val="0F243E" w:themeColor="text2" w:themeShade="80"/>
        </w:rPr>
        <w:t>będą ponoszone w dłuższym okresie</w:t>
      </w:r>
      <w:r w:rsidRPr="004D3D11">
        <w:rPr>
          <w:bCs/>
          <w:color w:val="0F243E" w:themeColor="text2" w:themeShade="80"/>
        </w:rPr>
        <w:t>.</w:t>
      </w:r>
    </w:p>
    <w:p w14:paraId="134C84A7" w14:textId="3F75B44C" w:rsidR="00EC345B" w:rsidRPr="004D3D11" w:rsidRDefault="00EC345B" w:rsidP="00EC345B">
      <w:pPr>
        <w:jc w:val="both"/>
        <w:rPr>
          <w:bCs/>
          <w:color w:val="0F243E" w:themeColor="text2" w:themeShade="80"/>
        </w:rPr>
      </w:pPr>
    </w:p>
    <w:p w14:paraId="2192A7E5" w14:textId="3D6FA4F3" w:rsidR="00EC345B" w:rsidRPr="004D3D11" w:rsidRDefault="00EC345B" w:rsidP="00EC345B">
      <w:pPr>
        <w:jc w:val="both"/>
        <w:rPr>
          <w:b/>
          <w:bCs/>
          <w:color w:val="0F243E" w:themeColor="text2" w:themeShade="80"/>
        </w:rPr>
      </w:pPr>
      <w:r w:rsidRPr="004D3D11">
        <w:rPr>
          <w:b/>
          <w:bCs/>
          <w:color w:val="0F243E" w:themeColor="text2" w:themeShade="80"/>
        </w:rPr>
        <w:t>Wstęp</w:t>
      </w:r>
    </w:p>
    <w:p w14:paraId="6786240A" w14:textId="365E6DF0" w:rsidR="00EC345B" w:rsidRPr="004D3D11" w:rsidRDefault="00EC345B" w:rsidP="00EC345B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Głęboka redukcja emisji gazów cieplarnianych,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która jest celem porozumienia paryskiego, wiąże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się zarówno z korzyściami jak i kosztami. Czytelnicy na pewno dobrze znają najważniejsze korzyści: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to przede wszystkim ograniczenie negatywnych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skutków w ro</w:t>
      </w:r>
      <w:r w:rsidRPr="004D3D11">
        <w:rPr>
          <w:color w:val="0F243E" w:themeColor="text2" w:themeShade="80"/>
        </w:rPr>
        <w:t>lnictwie i zaspokajanie potrzeb ż</w:t>
      </w:r>
      <w:r w:rsidRPr="004D3D11">
        <w:rPr>
          <w:color w:val="0F243E" w:themeColor="text2" w:themeShade="80"/>
        </w:rPr>
        <w:t>ywnościowych, uniknięte koszty zdrowotne związane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 podwyższeniem temperatury, uniknięte straty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związane z klęskami żywiołowymi, ograniczenie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zanieczyszczenia powietrza i mniejsza zależność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od paliw kopalnianych (co przekłada się na większe bezpieczeństwo energetyczne wielu państw).</w:t>
      </w:r>
    </w:p>
    <w:p w14:paraId="3AF4A3EE" w14:textId="77777777" w:rsidR="00EC345B" w:rsidRPr="004D3D11" w:rsidRDefault="00EC345B" w:rsidP="00EC345B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W ostatnim raporcie</w:t>
      </w:r>
      <w:r w:rsidRPr="004D3D11">
        <w:rPr>
          <w:color w:val="0F243E" w:themeColor="text2" w:themeShade="80"/>
        </w:rPr>
        <w:t xml:space="preserve"> IPCC (</w:t>
      </w:r>
      <w:proofErr w:type="spellStart"/>
      <w:r w:rsidRPr="004D3D11">
        <w:rPr>
          <w:color w:val="0F243E" w:themeColor="text2" w:themeShade="80"/>
        </w:rPr>
        <w:t>Sixth</w:t>
      </w:r>
      <w:proofErr w:type="spellEnd"/>
      <w:r w:rsidRPr="004D3D11">
        <w:rPr>
          <w:color w:val="0F243E" w:themeColor="text2" w:themeShade="80"/>
        </w:rPr>
        <w:t xml:space="preserve"> </w:t>
      </w:r>
      <w:proofErr w:type="spellStart"/>
      <w:r w:rsidRPr="004D3D11">
        <w:rPr>
          <w:color w:val="0F243E" w:themeColor="text2" w:themeShade="80"/>
        </w:rPr>
        <w:t>Assessment</w:t>
      </w:r>
      <w:proofErr w:type="spellEnd"/>
      <w:r w:rsidRPr="004D3D11">
        <w:rPr>
          <w:color w:val="0F243E" w:themeColor="text2" w:themeShade="80"/>
        </w:rPr>
        <w:t xml:space="preserve"> Report)</w:t>
      </w:r>
      <w:r w:rsidRPr="004D3D11">
        <w:rPr>
          <w:rStyle w:val="Odwoanieprzypisudolnego"/>
          <w:color w:val="0F243E" w:themeColor="text2" w:themeShade="80"/>
        </w:rPr>
        <w:footnoteReference w:id="1"/>
      </w:r>
      <w:r w:rsidRPr="004D3D11">
        <w:rPr>
          <w:color w:val="0F243E" w:themeColor="text2" w:themeShade="80"/>
        </w:rPr>
        <w:t xml:space="preserve"> najważniejszymi miernikami kosztów są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zmienne makroekonomiczne: spadek wzrostu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konsumpcji lub spadek wzrostu Produktu Krajowego Brutto. Raport wskazuje, że osiągnięcie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ambitnych celów ograniczania zmian klimatycznych nie wymaga zmniejszenia konsumpcji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względem jej dzisiejszego poziomu – wzrost konsumpcji będzie kontynuowany nawet w najbardziej ambitnych scenariuszach, choć będzie on nieco wolniejszy niż w scenariuszach mniej ambitnej polityki klimatycznej. Dla przykładu, wzrost globalnej gospodarki w scenariuszu ograniczenia zmian klimatycznych do około 1.5C oznacza spowolnienie wzrostu gospodarczego o 0.04 punktu procentowego. Oczywiście obliczenia te dotyczą średniego globalnego </w:t>
      </w:r>
      <w:r w:rsidRPr="004D3D11">
        <w:rPr>
          <w:color w:val="0F243E" w:themeColor="text2" w:themeShade="80"/>
        </w:rPr>
        <w:lastRenderedPageBreak/>
        <w:t xml:space="preserve">wzrostu gospodarczego. Ciężar polityki klimatyczne rozkłada się nierówno między państwami i między obywatelami. </w:t>
      </w:r>
    </w:p>
    <w:p w14:paraId="4EB1ED78" w14:textId="77777777" w:rsidR="00EC345B" w:rsidRPr="004D3D11" w:rsidRDefault="00EC345B" w:rsidP="00EC345B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 xml:space="preserve">Naturalne kolejne pytanie, które coraz częściej jest podnoszone zarówno w literaturze naukowej, jak i w debacie publicznej to jaki ciężar odczują poszczególne grupy społeczne i w jaki sposób go odczują. Modele oceny zintegrowanej, które stanowią najważniejsze narzędzie analiz opisanych w raporcie IPCC traktują koszty i obciążenie bardzo abstrakcyjnie: w postaci zmiany dynamiki wartości konsumpcji lub PKB. Modele te nie mają wystarczająco rozwiniętej struktury, aby rzucić światło w jakich częściach naszego codziennego budżetu domowego zauważymy zmiany będące skutkiem polityki klimatycznej. </w:t>
      </w:r>
    </w:p>
    <w:p w14:paraId="32F6A3A8" w14:textId="53F545E3" w:rsidR="001230DA" w:rsidRPr="004D3D11" w:rsidRDefault="00EC345B" w:rsidP="00EC345B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Z perspektywy obywateli, koszty będą występować w dwóch formach: (i) wzrostu cen dóbr konsumpcyjnych oraz (ii) utraty korzystnego finansowo zatrudnienia dla części pracowników. Wzrost cen będzie się odnosił przede wszystkim do wzrostu kosztów zakupu i wykorzystania nośników energii, w szczególności energii elektrycznej i ciepła, wzrostu kosztów transportu, oraz, prawdopodobnie, wzrostu kosztów niektórych produktów żywnościowych, w szczególności mięsa. Koszty dla pracowników będą najwyraźniejsze w wysokoemisyjnych sektorach, takich jak górnictwo. Głęboka redukcja CO2 wymaga wygaszenie górnictwa w perspektywie dwóch-trzech dziesięcioleci. Dla osób, które obecnie są zatrudnione w tym sektorze oznacza to konieczność poszukiwania alternatywnego zatrudnienia, które, w większości przypadków, będzie mniej korzystne finansowo niż praca w górnictwie.</w:t>
      </w:r>
    </w:p>
    <w:p w14:paraId="69DE0308" w14:textId="1315DD12" w:rsidR="00EC345B" w:rsidRPr="004D3D11" w:rsidRDefault="00EC345B" w:rsidP="00EC345B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Unia Europejska wychodząc z koncepcją Europejskiego Zielonego Ładu, w tym zawartego w nim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celu neutralności klimatycznej Unii Europejskiej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połowie wieku, dostrzega ową dysproporcję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rozkładzie kosztów tak ambitnej polityki klimatycznej. Wiodącym narzędziem mającym złagodzić skutki w regionach i grupach najmocniej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odczuwających społeczne i ekonomiczne skutki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tych działań jest mechanizm sprawiedliwej transformacji, który w założeniu ma zapewnić ukierunkowane wsparcie finansowe w latach 2021-2027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i zgodnie z deklaracjami doprowadzić do zainwestowania około 55 mln euro w regionach najbardziej dotkniętych. Mechanizm te składa się z trzech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filarów, wśród których wiodącym jest Fundusz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Sprawiedliwej Transformacji, zaś pozostałe dwa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filary to rozwiązania w ramach programu </w:t>
      </w:r>
      <w:proofErr w:type="spellStart"/>
      <w:r w:rsidRPr="004D3D11">
        <w:rPr>
          <w:color w:val="0F243E" w:themeColor="text2" w:themeShade="80"/>
        </w:rPr>
        <w:t>InvestEU</w:t>
      </w:r>
      <w:proofErr w:type="spellEnd"/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oraz nowy instrument pożyczkowy w ramach budżetu UE, o czym piszemy szerzej w dalszej części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artykułu. Komponenty wspierające sprawiedliwą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transformację można znaleźć także w innych mechanizmach wsparcia polityki klimatycznej UE.</w:t>
      </w:r>
    </w:p>
    <w:p w14:paraId="2DE18AB3" w14:textId="2ED71CCE" w:rsidR="00EC345B" w:rsidRPr="004D3D11" w:rsidRDefault="00EC345B" w:rsidP="00EC345B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W tym kontekście zasadnym wydaje się zbadanie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jakim stopniu środki przeznaczone na sprawiedliwą transformacją pozwalają skompensować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całkowite koszty polityki klimatycznej z perspektywy pracowników. Występowanie tych kosztów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nie jest oczywiste: z jednej strony osoby te będą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tracić pracę i dochody. Z drugiej strony transformacja gospodarki doprowadzi do powstania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wielu nowych miejsc pracy. Czy możemy stwierdzić czy nowe miejsca pracy będą mniej opłacalne od starych? Czy możemy oszacować jakie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będą różnice w dochodach i podsumować jakiej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skali będą koszty dla pracowników? Jak skala tych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kosztów wygląda na tle instrumentów przygotowywanych przez Unię Europejską, których celem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jest ograniczanie negatywnych społecznych skutków transformacji niskoemisyjnej? Czy skala tych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funduszy jest adekwatna i wystarczająca? Wreszcie, jak wykorzystać </w:t>
      </w:r>
      <w:r w:rsidRPr="004D3D11">
        <w:rPr>
          <w:color w:val="0F243E" w:themeColor="text2" w:themeShade="80"/>
        </w:rPr>
        <w:lastRenderedPageBreak/>
        <w:t>dostępne środki, aby skompensować straty dla pracowników, ich rodzin, ich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regionów w najbardziej efektywny sposób?</w:t>
      </w:r>
    </w:p>
    <w:p w14:paraId="4ACD5601" w14:textId="77777777" w:rsidR="00EC345B" w:rsidRPr="004D3D11" w:rsidRDefault="00EC345B" w:rsidP="00EC345B">
      <w:pPr>
        <w:jc w:val="both"/>
        <w:rPr>
          <w:b/>
          <w:color w:val="0F243E" w:themeColor="text2" w:themeShade="80"/>
        </w:rPr>
      </w:pPr>
    </w:p>
    <w:p w14:paraId="5AC0B033" w14:textId="1EC370DB" w:rsidR="00EC345B" w:rsidRPr="004D3D11" w:rsidRDefault="00EC345B" w:rsidP="00EC345B">
      <w:pPr>
        <w:jc w:val="both"/>
        <w:rPr>
          <w:b/>
          <w:color w:val="0F243E" w:themeColor="text2" w:themeShade="80"/>
        </w:rPr>
      </w:pPr>
      <w:r w:rsidRPr="004D3D11">
        <w:rPr>
          <w:b/>
          <w:color w:val="0F243E" w:themeColor="text2" w:themeShade="80"/>
        </w:rPr>
        <w:t>Dlaczego transformacja jest kosztowna dla</w:t>
      </w:r>
      <w:r w:rsidRPr="004D3D11">
        <w:rPr>
          <w:b/>
          <w:color w:val="0F243E" w:themeColor="text2" w:themeShade="80"/>
        </w:rPr>
        <w:t xml:space="preserve"> </w:t>
      </w:r>
      <w:r w:rsidRPr="004D3D11">
        <w:rPr>
          <w:b/>
          <w:color w:val="0F243E" w:themeColor="text2" w:themeShade="80"/>
        </w:rPr>
        <w:t>pracowników</w:t>
      </w:r>
    </w:p>
    <w:p w14:paraId="6C481568" w14:textId="7052AB7D" w:rsidR="00EC345B" w:rsidRPr="004D3D11" w:rsidRDefault="00EC345B" w:rsidP="00EC345B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Podstawowym uzasadnieniem dla wprowadzania wyżej wymienionych funduszy, w szczególności funduszu sprawiedliwej transformacji jest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kompensowanie strat dla tych grup społecznych,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dla których transformacja niskoemisyjna stanowi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zagrożenie. W tym miejscu warto się zatrzymać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i zadać nieco prowokacyjne pytanie: czy transformacja może być zagrożeniem? Nie ma wątpliwości, że wiąże się ona nie tylko wygaszaniem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niektórych sektorów, ale także w powstawaniem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wielu nowych miejsc pracy przy instalacji Odnawialnych Źródeł Energii, produkcji pojazdów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elektrycznych czy ocieplaniem domów. Osoby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opuszczające sektory takie jak górnictwo będą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więc miały okazję, aby podjąć pracę w nowym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miejscu. Co więcej, można zauważyć, że przecież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praca w górnictwie jest szczególnie trudna i często niesie ze sobą ryzyko utraty zdrowia czy życia.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Zmiana zatrudnienia może więc przynieść górnikom niemonetarne korzyści.</w:t>
      </w:r>
    </w:p>
    <w:p w14:paraId="024384E3" w14:textId="7525B1B7" w:rsidR="00EC345B" w:rsidRPr="004D3D11" w:rsidRDefault="00EC345B" w:rsidP="00EC345B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Istnieje jednak mocny ekonomiczny argument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wskazujący na to, że dla pracowników zmuszonych do zmiany sektora zatrudnienia korzyści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 transformacji będą mniejsze od kosztów, ich dochody i satysfakcja w nowych miejscach pracy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będą mniejsze od tych, które otrzymują teraz. Po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pierwsze, jeżeli pracownicy w sektorze górnictwa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pozostają w tym sektorze od lat, to sektor ten daje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im najwyższe możliwe dochody i/lub satysfakcję.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przeciwnym razie, pracownicy już teraz dobrowolnie zmieniliby sektor zatrudnienia na ten,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którym osiągnęliby większe korzyści. Po drugie, kiedy pracownicy w sektorze górnictwa tracą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możliwość zatrudnienia w tym sektorze, tracą najlepszą dla nich możliwość wykorzystania swojego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specyficznego kapitału ludzkiego. Racjonalność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nakazuje im wybór drugiej najlepszej opcji spośród pozostałych sektorów. Jednak ich produktywność w drugiej najlepszej opcji będzie zawsze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mniejsza od produktywności w pierwszej najlepszej opcji, jaką była praca w sektorze górniczym.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Różnica między tymi dwoma opcjami definiuje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stratę zarobków dla górników.</w:t>
      </w:r>
    </w:p>
    <w:p w14:paraId="0A04124C" w14:textId="6B87F8D1" w:rsidR="00EC345B" w:rsidRPr="004D3D11" w:rsidRDefault="00EC345B" w:rsidP="00EC345B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Punktem wyjścia do zbudowania argumentu powyżej są dwie przesłanki: o różnorodności i racjonalności pracowników. Różnorodność oznacza,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że każdy pracownik posiada specyficzny kapitał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ludzki: specyficzne doświadczenie, wykształcenie, wrodzone zdolności. Specyficzność kapitału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ludzkiego ma dwie konsekwencje: (i) pojedynczy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pracownik może mieć wyższą produktywność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jednym sektorze niż w innych sektorach (ii) potencjalna produktywność jednego pracownika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danym sektorze, może być różna od potencjalnej produktywności innego pracownika w tym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samym sektorze. Drugą przesłanką jest racjonalność pracowników: każdy pracownik wybiera ten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sektor, w którym jest najbardziej produktywny.</w:t>
      </w:r>
    </w:p>
    <w:p w14:paraId="5FA9F600" w14:textId="4790E2C0" w:rsidR="00EC345B" w:rsidRPr="004D3D11" w:rsidRDefault="00EC345B" w:rsidP="00EC345B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Pierwsza przesłanka nie jest kontrowersyjna – jest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jasne, że każda praca wymaga specyficznych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kwalifikacji i zdolności. Trudno spodziewać się, że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przeciętny pracownik z sektora górniczego będzie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równie produktywny w sektorze budownictwa jak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murarz z długim stażem.</w:t>
      </w:r>
    </w:p>
    <w:p w14:paraId="3CDA6E7C" w14:textId="1F6EDEEC" w:rsidR="00EC345B" w:rsidRPr="004D3D11" w:rsidRDefault="00EC345B" w:rsidP="00EC345B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lastRenderedPageBreak/>
        <w:t>Druga przesłanka - o racjonalności pracowników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- może wydawać się mniej oczywista. Pracownicy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mogą nie mieć pełnego obrazu możliwych zarobków w innych sektorach gospodarki. Teoretycznie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można wyobrazić sobie sytuację, w której płace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innych sektorach są wyższe, ale górnik nie chce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zmieniać pracy ponieważ o tym nie wie. Jest to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jednak mało prawdopodobne. Niemal każdy ma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dostęp do różnorodnych ofert pracy z pełną informacją o jej warunkach. Większość osób ma też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kontakty z pracownikami z innych sektorów, którzy mogą dzielić się informacjami o uciążliwości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i korzyściach ich pracy. Dodatkowo, alternatywne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założenie: o tym, że pracownicy nie znają swoich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możliwości zarobkowych, a eksperci znają, jest jeszcze trudniejsze do obrony. Pracownicy lepiej znają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swoje kwalifikacje, zdolności i satysfakcję z wykonywania danej pracy niż eksperci z tabelami danych.</w:t>
      </w:r>
    </w:p>
    <w:p w14:paraId="0F77E28B" w14:textId="55AE5566" w:rsidR="00CB7AF1" w:rsidRPr="004D3D11" w:rsidRDefault="00EC345B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W tym miejscu warto wspomnieć o jeszcze jednym mechanizmie, który dotychczas pomijaliśmy: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polityka klimatyczna zmieni nie tylko strukturę</w:t>
      </w:r>
      <w:r w:rsidR="00CB7AF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zatrudnienia ale też zarobki pracowników w różnych sektorach. Można spodziewać się, że zarobki w „zielonych”, niskoemisyjnych sektorach będą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wyższe niż są teraz, co zachęci pracowników obecnie zatrudnionych w górnictwie do poszukiwania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zatrudnienia właśnie w tych sektorach. Efekt ten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należy oczywiście wziąć pod uwagę w obliczaniu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całkowitych kosztów/korzyści płynących polityki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klimatycznej dla pracowników. Symulacje modeli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ekonomicznych, które opisujemy poniżej, wskazują jednak, że siła tego pozytywnego efektu jest relatywnie mała i nie pozwala na skompensowanie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kosztów dla pracowników związanych ze zmianą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sektora zatrudnienia. Należy również podkreślić,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że podwyższenie płacy w zielonych zawodach to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broń obusieczna: z jednej strony redukuje koszty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transformacji dla pracowników, z drugiej strony</w:t>
      </w:r>
      <w:r w:rsidR="00CB7AF1" w:rsidRPr="004D3D11">
        <w:rPr>
          <w:color w:val="0F243E" w:themeColor="text2" w:themeShade="80"/>
        </w:rPr>
        <w:t xml:space="preserve"> </w:t>
      </w:r>
      <w:r w:rsidR="00CB7AF1" w:rsidRPr="004D3D11">
        <w:rPr>
          <w:color w:val="0F243E" w:themeColor="text2" w:themeShade="80"/>
        </w:rPr>
        <w:t>podwyższa koszty korzystania z zielonych technologii i koszty transformacji dla konsumentów.</w:t>
      </w:r>
    </w:p>
    <w:p w14:paraId="1C0F2098" w14:textId="77777777" w:rsidR="00CB7AF1" w:rsidRPr="004D3D11" w:rsidRDefault="00CB7AF1" w:rsidP="00CB7AF1">
      <w:pPr>
        <w:jc w:val="both"/>
        <w:rPr>
          <w:color w:val="0F243E" w:themeColor="text2" w:themeShade="80"/>
        </w:rPr>
      </w:pPr>
    </w:p>
    <w:p w14:paraId="38475DE5" w14:textId="5D99C68D" w:rsidR="00CB7AF1" w:rsidRPr="004D3D11" w:rsidRDefault="00CB7AF1" w:rsidP="00CB7AF1">
      <w:pPr>
        <w:jc w:val="both"/>
        <w:rPr>
          <w:b/>
          <w:color w:val="0F243E" w:themeColor="text2" w:themeShade="80"/>
        </w:rPr>
      </w:pPr>
      <w:r w:rsidRPr="004D3D11">
        <w:rPr>
          <w:b/>
          <w:color w:val="0F243E" w:themeColor="text2" w:themeShade="80"/>
        </w:rPr>
        <w:t>Wpływ transformacji na sektor</w:t>
      </w:r>
      <w:r w:rsidRPr="004D3D11">
        <w:rPr>
          <w:b/>
          <w:color w:val="0F243E" w:themeColor="text2" w:themeShade="80"/>
        </w:rPr>
        <w:t xml:space="preserve"> </w:t>
      </w:r>
      <w:r w:rsidRPr="004D3D11">
        <w:rPr>
          <w:b/>
          <w:color w:val="0F243E" w:themeColor="text2" w:themeShade="80"/>
        </w:rPr>
        <w:t>zatrudnienia</w:t>
      </w:r>
    </w:p>
    <w:p w14:paraId="6509A487" w14:textId="519B2853" w:rsidR="00EC345B" w:rsidRPr="004D3D1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Wyzwaniem staje się zatem odpowiedź na pytanie, jak – uwzględniając wszystkie powyższe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mechanizmy – można ustalić skalę kosztów związanych z transformacją niskoemisyjną dla pracowników? Działające w </w:t>
      </w:r>
      <w:proofErr w:type="spellStart"/>
      <w:r w:rsidRPr="004D3D11">
        <w:rPr>
          <w:color w:val="0F243E" w:themeColor="text2" w:themeShade="80"/>
        </w:rPr>
        <w:t>KOBiZE</w:t>
      </w:r>
      <w:proofErr w:type="spellEnd"/>
      <w:r w:rsidRPr="004D3D11">
        <w:rPr>
          <w:color w:val="0F243E" w:themeColor="text2" w:themeShade="80"/>
        </w:rPr>
        <w:t xml:space="preserve"> Centrum Analiz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Klimatyczno-Energetycznych podjęło próbę znalezienia odpowiedzi na to pytanie wykorzystując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narzędzia modelowe. Punktem wyjścia analizy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jest model globalnej gospodarki, który pozwala na opisanie zmian strukturalnych związanych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 prowadzeniem polityki klimatycznej. Model ten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pozwala na uwzględnienie różnorodności pracowników, zmian ich produktywności spowodowanych zmianami sektorów oraz zmian płac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różnych sektorach gospodarki.</w:t>
      </w:r>
    </w:p>
    <w:p w14:paraId="5B6700C8" w14:textId="1E4B70D5" w:rsidR="00CB7AF1" w:rsidRPr="004D3D1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Model, który wykorzystujemy w analizie posiada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nowatorskie rozwiązania, które pozwalają na bardziej realistyczne przewidywania dotyczące zmian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na rynku pracy w porównaniu do standardowych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modeli makroekonomicznych. Standardowe modele zakładają, że drobna obniżka płacy w jednym sektorze powoduje natychmiastowy i całkowicie </w:t>
      </w:r>
      <w:proofErr w:type="spellStart"/>
      <w:r w:rsidRPr="004D3D11">
        <w:rPr>
          <w:color w:val="0F243E" w:themeColor="text2" w:themeShade="80"/>
        </w:rPr>
        <w:t>bezkosztowy</w:t>
      </w:r>
      <w:proofErr w:type="spellEnd"/>
      <w:r w:rsidRPr="004D3D11">
        <w:rPr>
          <w:color w:val="0F243E" w:themeColor="text2" w:themeShade="80"/>
        </w:rPr>
        <w:t xml:space="preserve"> odpływ pracowników z tego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sektora do innych sektorów. Założenie to implicite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zakłada idealną jednorodność pracowników oraz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brak jakichkolwiek kosztów związanych ze zmianą sektora, co, jak uzasadnialiśmy w poprzedniej sekcji, jest mało realne. W naszym modelu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wprowadziliśmy rozwiązania, które pozwalają na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skorygowanie tego ograniczenia i </w:t>
      </w:r>
      <w:r w:rsidRPr="004D3D11">
        <w:rPr>
          <w:color w:val="0F243E" w:themeColor="text2" w:themeShade="80"/>
        </w:rPr>
        <w:lastRenderedPageBreak/>
        <w:t>uwzględnienie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różnorodności pracowników oraz kosztów zmiany sektora. Model uwzględnia to, że zmniejszenie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płacy w jednym sektorze powoduje odpływ części – a nie wszystkich – pracowników z tego sektora. W opracowaniu “How to </w:t>
      </w:r>
      <w:proofErr w:type="spellStart"/>
      <w:r w:rsidRPr="004D3D11">
        <w:rPr>
          <w:color w:val="0F243E" w:themeColor="text2" w:themeShade="80"/>
        </w:rPr>
        <w:t>compute</w:t>
      </w:r>
      <w:proofErr w:type="spellEnd"/>
      <w:r w:rsidRPr="004D3D11">
        <w:rPr>
          <w:color w:val="0F243E" w:themeColor="text2" w:themeShade="80"/>
        </w:rPr>
        <w:t xml:space="preserve"> the </w:t>
      </w:r>
      <w:proofErr w:type="spellStart"/>
      <w:r w:rsidRPr="004D3D11">
        <w:rPr>
          <w:color w:val="0F243E" w:themeColor="text2" w:themeShade="80"/>
        </w:rPr>
        <w:t>cost</w:t>
      </w:r>
      <w:proofErr w:type="spellEnd"/>
      <w:r w:rsidRPr="004D3D11">
        <w:rPr>
          <w:color w:val="0F243E" w:themeColor="text2" w:themeShade="80"/>
        </w:rPr>
        <w:t xml:space="preserve"> for</w:t>
      </w:r>
      <w:r w:rsidRPr="004D3D11">
        <w:rPr>
          <w:color w:val="0F243E" w:themeColor="text2" w:themeShade="80"/>
        </w:rPr>
        <w:t xml:space="preserve"> </w:t>
      </w:r>
      <w:proofErr w:type="spellStart"/>
      <w:r w:rsidRPr="004D3D11">
        <w:rPr>
          <w:color w:val="0F243E" w:themeColor="text2" w:themeShade="80"/>
        </w:rPr>
        <w:t>workers</w:t>
      </w:r>
      <w:proofErr w:type="spellEnd"/>
      <w:r w:rsidRPr="004D3D11">
        <w:rPr>
          <w:color w:val="0F243E" w:themeColor="text2" w:themeShade="80"/>
        </w:rPr>
        <w:t xml:space="preserve"> </w:t>
      </w:r>
      <w:proofErr w:type="spellStart"/>
      <w:r w:rsidRPr="004D3D11">
        <w:rPr>
          <w:color w:val="0F243E" w:themeColor="text2" w:themeShade="80"/>
        </w:rPr>
        <w:t>within</w:t>
      </w:r>
      <w:proofErr w:type="spellEnd"/>
      <w:r w:rsidRPr="004D3D11">
        <w:rPr>
          <w:color w:val="0F243E" w:themeColor="text2" w:themeShade="80"/>
        </w:rPr>
        <w:t xml:space="preserve"> the “</w:t>
      </w:r>
      <w:proofErr w:type="spellStart"/>
      <w:r w:rsidRPr="004D3D11">
        <w:rPr>
          <w:color w:val="0F243E" w:themeColor="text2" w:themeShade="80"/>
        </w:rPr>
        <w:t>just</w:t>
      </w:r>
      <w:proofErr w:type="spellEnd"/>
      <w:r w:rsidRPr="004D3D11">
        <w:rPr>
          <w:color w:val="0F243E" w:themeColor="text2" w:themeShade="80"/>
        </w:rPr>
        <w:t xml:space="preserve"> </w:t>
      </w:r>
      <w:proofErr w:type="spellStart"/>
      <w:r w:rsidRPr="004D3D11">
        <w:rPr>
          <w:color w:val="0F243E" w:themeColor="text2" w:themeShade="80"/>
        </w:rPr>
        <w:t>transition</w:t>
      </w:r>
      <w:proofErr w:type="spellEnd"/>
      <w:r w:rsidRPr="004D3D11">
        <w:rPr>
          <w:color w:val="0F243E" w:themeColor="text2" w:themeShade="80"/>
        </w:rPr>
        <w:t xml:space="preserve">” to a </w:t>
      </w:r>
      <w:proofErr w:type="spellStart"/>
      <w:r w:rsidRPr="004D3D11">
        <w:rPr>
          <w:color w:val="0F243E" w:themeColor="text2" w:themeShade="80"/>
        </w:rPr>
        <w:t>low-carbon</w:t>
      </w:r>
      <w:proofErr w:type="spellEnd"/>
      <w:r w:rsidRPr="004D3D11">
        <w:rPr>
          <w:color w:val="0F243E" w:themeColor="text2" w:themeShade="80"/>
        </w:rPr>
        <w:t xml:space="preserve"> </w:t>
      </w:r>
      <w:proofErr w:type="spellStart"/>
      <w:r w:rsidRPr="004D3D11">
        <w:rPr>
          <w:color w:val="0F243E" w:themeColor="text2" w:themeShade="80"/>
        </w:rPr>
        <w:t>future</w:t>
      </w:r>
      <w:proofErr w:type="spellEnd"/>
      <w:r w:rsidRPr="004D3D11">
        <w:rPr>
          <w:color w:val="0F243E" w:themeColor="text2" w:themeShade="80"/>
        </w:rPr>
        <w:t>?”(CA</w:t>
      </w:r>
      <w:r w:rsidRPr="004D3D11">
        <w:rPr>
          <w:color w:val="0F243E" w:themeColor="text2" w:themeShade="80"/>
        </w:rPr>
        <w:t xml:space="preserve">KE </w:t>
      </w:r>
      <w:proofErr w:type="spellStart"/>
      <w:r w:rsidRPr="004D3D11">
        <w:rPr>
          <w:color w:val="0F243E" w:themeColor="text2" w:themeShade="80"/>
        </w:rPr>
        <w:t>Working</w:t>
      </w:r>
      <w:proofErr w:type="spellEnd"/>
      <w:r w:rsidRPr="004D3D11">
        <w:rPr>
          <w:color w:val="0F243E" w:themeColor="text2" w:themeShade="80"/>
        </w:rPr>
        <w:t xml:space="preserve"> Paper, kwiecień 2022</w:t>
      </w:r>
      <w:r w:rsidRPr="004D3D11">
        <w:rPr>
          <w:rStyle w:val="Odwoanieprzypisudolnego"/>
          <w:color w:val="0F243E" w:themeColor="text2" w:themeShade="80"/>
        </w:rPr>
        <w:footnoteReference w:id="2"/>
      </w:r>
      <w:r w:rsidRPr="004D3D11">
        <w:rPr>
          <w:color w:val="0F243E" w:themeColor="text2" w:themeShade="80"/>
        </w:rPr>
        <w:t>)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opisaliśmy szczegółowe wyprowadzenia matematyczne, które wyjaśniają jak model pozwala na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uwzględnienie kosztów dla pracowników.</w:t>
      </w:r>
    </w:p>
    <w:p w14:paraId="6E970756" w14:textId="778F5C62" w:rsidR="00CB7AF1" w:rsidRPr="004D3D1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Parametry modelu, które opisują koszty transformacji dla pracowników zostały skalibrowane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do wartości oszacowanych w badaniach z literatury naukowej. Badania, na których oparta jest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kalibracja, analizują jak duże muszą być zmiany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wynagrodzeniu dla osób zatrudnionych w firmach kontrolujących znaczącą część rynku pracy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(tzw. </w:t>
      </w:r>
      <w:proofErr w:type="spellStart"/>
      <w:r w:rsidRPr="004D3D11">
        <w:rPr>
          <w:color w:val="0F243E" w:themeColor="text2" w:themeShade="80"/>
        </w:rPr>
        <w:t>monopsonach</w:t>
      </w:r>
      <w:proofErr w:type="spellEnd"/>
      <w:r w:rsidRPr="004D3D11">
        <w:rPr>
          <w:color w:val="0F243E" w:themeColor="text2" w:themeShade="80"/>
        </w:rPr>
        <w:t>), aby pracownicy zdecydowali się na zmianę miejsca pracy. Na podstawie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tej informacji można wywnioskować jaka jest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wartość obecnego miejsca pracy dla pracowników względem wartości drugiej najlepszej opcji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zatrudnienia. Szczegółowy opis strategii kalibracji znajduje się w opracowaniu “How to </w:t>
      </w:r>
      <w:proofErr w:type="spellStart"/>
      <w:r w:rsidRPr="004D3D11">
        <w:rPr>
          <w:color w:val="0F243E" w:themeColor="text2" w:themeShade="80"/>
        </w:rPr>
        <w:t>compute</w:t>
      </w:r>
      <w:proofErr w:type="spellEnd"/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the </w:t>
      </w:r>
      <w:proofErr w:type="spellStart"/>
      <w:r w:rsidRPr="004D3D11">
        <w:rPr>
          <w:color w:val="0F243E" w:themeColor="text2" w:themeShade="80"/>
        </w:rPr>
        <w:t>cost</w:t>
      </w:r>
      <w:proofErr w:type="spellEnd"/>
      <w:r w:rsidRPr="004D3D11">
        <w:rPr>
          <w:color w:val="0F243E" w:themeColor="text2" w:themeShade="80"/>
        </w:rPr>
        <w:t xml:space="preserve"> for </w:t>
      </w:r>
      <w:proofErr w:type="spellStart"/>
      <w:r w:rsidRPr="004D3D11">
        <w:rPr>
          <w:color w:val="0F243E" w:themeColor="text2" w:themeShade="80"/>
        </w:rPr>
        <w:t>workers</w:t>
      </w:r>
      <w:proofErr w:type="spellEnd"/>
      <w:r w:rsidRPr="004D3D11">
        <w:rPr>
          <w:color w:val="0F243E" w:themeColor="text2" w:themeShade="80"/>
        </w:rPr>
        <w:t xml:space="preserve"> </w:t>
      </w:r>
      <w:proofErr w:type="spellStart"/>
      <w:r w:rsidRPr="004D3D11">
        <w:rPr>
          <w:color w:val="0F243E" w:themeColor="text2" w:themeShade="80"/>
        </w:rPr>
        <w:t>within</w:t>
      </w:r>
      <w:proofErr w:type="spellEnd"/>
      <w:r w:rsidRPr="004D3D11">
        <w:rPr>
          <w:color w:val="0F243E" w:themeColor="text2" w:themeShade="80"/>
        </w:rPr>
        <w:t xml:space="preserve"> the “</w:t>
      </w:r>
      <w:proofErr w:type="spellStart"/>
      <w:r w:rsidRPr="004D3D11">
        <w:rPr>
          <w:color w:val="0F243E" w:themeColor="text2" w:themeShade="80"/>
        </w:rPr>
        <w:t>just</w:t>
      </w:r>
      <w:proofErr w:type="spellEnd"/>
      <w:r w:rsidRPr="004D3D11">
        <w:rPr>
          <w:color w:val="0F243E" w:themeColor="text2" w:themeShade="80"/>
        </w:rPr>
        <w:t xml:space="preserve"> </w:t>
      </w:r>
      <w:proofErr w:type="spellStart"/>
      <w:r w:rsidRPr="004D3D11">
        <w:rPr>
          <w:color w:val="0F243E" w:themeColor="text2" w:themeShade="80"/>
        </w:rPr>
        <w:t>transition</w:t>
      </w:r>
      <w:proofErr w:type="spellEnd"/>
      <w:r w:rsidRPr="004D3D11">
        <w:rPr>
          <w:color w:val="0F243E" w:themeColor="text2" w:themeShade="80"/>
        </w:rPr>
        <w:t>” to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a </w:t>
      </w:r>
      <w:proofErr w:type="spellStart"/>
      <w:r w:rsidRPr="004D3D11">
        <w:rPr>
          <w:color w:val="0F243E" w:themeColor="text2" w:themeShade="80"/>
        </w:rPr>
        <w:t>low-carbon</w:t>
      </w:r>
      <w:proofErr w:type="spellEnd"/>
      <w:r w:rsidRPr="004D3D11">
        <w:rPr>
          <w:color w:val="0F243E" w:themeColor="text2" w:themeShade="80"/>
        </w:rPr>
        <w:t xml:space="preserve"> </w:t>
      </w:r>
      <w:proofErr w:type="spellStart"/>
      <w:r w:rsidRPr="004D3D11">
        <w:rPr>
          <w:color w:val="0F243E" w:themeColor="text2" w:themeShade="80"/>
        </w:rPr>
        <w:t>future</w:t>
      </w:r>
      <w:proofErr w:type="spellEnd"/>
      <w:r w:rsidRPr="004D3D11">
        <w:rPr>
          <w:color w:val="0F243E" w:themeColor="text2" w:themeShade="80"/>
        </w:rPr>
        <w:t xml:space="preserve">?” (CAKE </w:t>
      </w:r>
      <w:proofErr w:type="spellStart"/>
      <w:r w:rsidRPr="004D3D11">
        <w:rPr>
          <w:color w:val="0F243E" w:themeColor="text2" w:themeShade="80"/>
        </w:rPr>
        <w:t>Working</w:t>
      </w:r>
      <w:proofErr w:type="spellEnd"/>
      <w:r w:rsidRPr="004D3D11">
        <w:rPr>
          <w:color w:val="0F243E" w:themeColor="text2" w:themeShade="80"/>
        </w:rPr>
        <w:t xml:space="preserve"> Paper, kwiecień 2022).</w:t>
      </w:r>
    </w:p>
    <w:p w14:paraId="0F2720CF" w14:textId="12E4F2FF" w:rsidR="00CB7AF1" w:rsidRPr="004D3D1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Różnice w zarobkach między sektorami dla pracowników w tej samej grupie wykształcenia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modelu są przypisywane różnicy uciążliwości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pracy w tych sektorach. Jeżeli zamiast tego założylibyśmy, że uciążliwość pracy we wszystkich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sektorach jest taka sama, koszty transformacji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dla górników byłyby wyższe.</w:t>
      </w:r>
    </w:p>
    <w:p w14:paraId="4866CBEC" w14:textId="0E6C4833" w:rsidR="00CB7AF1" w:rsidRPr="004D3D1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Model nie uwzględnia efektów demograficznych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oraz faktu, że część obecnie zatrudnionych pracowników do 2050 odejdzie na emeryturę, co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oznacza, że nie będą oni musieli szukać pracy.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Uwzględnienie tego efektu w modelu prowadziłoby do zmniejszenia szacunków kosztu transformacji dla górników. W alternatywnej symulacji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można byłoby założyć, że koszty dotyczą jedynie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tych górników, którzy zostali zmuszeni do wyboru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nowego miejsca pracy przed osiągnięciem wieku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emerytalnego. Należy jednak zaznaczyć, że przy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takim założeniu nie uwzględnilibyśmy kosztów dla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młodych pracowników. Dla części z nich redukcja zatrudnienia w górnictwie oznacza stratę potencjalnie korzystnego finansowo miejsca pracy.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Wyniki modelu wskazują, że w scenariuszu zakładającym realizację celu osiągnięcia neutralności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klimatycznej do 2050 roku, zatrudnienie w górnictwie w Polsce spada o 51% w okresie 2020-2030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i o 83% w okresie 2020-2040.</w:t>
      </w:r>
    </w:p>
    <w:p w14:paraId="5EDFAAE3" w14:textId="4271A470" w:rsidR="00CB7AF1" w:rsidRPr="004D3D1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Model przewiduje, że górnicy znajdą pracę w innych sektorach, jednak ich produktywność oraz ich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wynagrodzenie w nowych sektorach będzie mniejsza niż w górnictwie. W 2030 roku łączna strata dla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wszystkich pracowników, którzy dzisiaj zatrudnieni są w górnictwie wyniesie 0,3 mld euro rocznie.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2040 strata ta wzrośnie do 0,6 mld euro rocznie.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Górnicy to nie jedyna grupa pracowników, która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może ponieść koszty związane z transformacją nisko-emisyjną. Straty poniosą również pracownicy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pozostałych sektorów, szczególnie tych, w których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koszty produkcji zależą od wielkości podatku od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emisji. Symulacje modelu pozwalają na obliczenie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łącznej straty pracowników w całej gospodarce.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W 2030 roku strata ta wyniesie średnio 0,4% wynagrodzenia pracowników. W skali kraju strata ta </w:t>
      </w:r>
      <w:r w:rsidRPr="004D3D11">
        <w:rPr>
          <w:color w:val="0F243E" w:themeColor="text2" w:themeShade="80"/>
        </w:rPr>
        <w:lastRenderedPageBreak/>
        <w:t>wyniesie 0,7 mld euro rocznie. W 2040 strata osiągnie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już poziom 0,5% średniego wynagrodzenia pracownika, co, w skali kraju, oznacza stratę 1 mld euro.</w:t>
      </w:r>
    </w:p>
    <w:p w14:paraId="0C7FA8BF" w14:textId="00494893" w:rsidR="00CB7AF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Utracone dochody pracowników przełożą się na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stratę PKB. Symulacje modelu wskazują, że w 2030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roku wymuszone przepływy pracowników między sektorami doprowadzą do utraty 0,1% rocznie.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2040 roku strata ta wyniesie już 0,3% PKB rocznie.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Wartość ta nie odzwierciedla całkowitych kosztów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transformacji niskoemisyjnej, a jedynie spadek PKB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wynikający z uwzględnienia w modelu ograniczonych możliwości zmiany sektora dla pracowników</w:t>
      </w:r>
      <w:r w:rsidRPr="004D3D11">
        <w:rPr>
          <w:color w:val="0F243E" w:themeColor="text2" w:themeShade="80"/>
        </w:rPr>
        <w:t>.</w:t>
      </w:r>
    </w:p>
    <w:p w14:paraId="1671E07C" w14:textId="77777777" w:rsidR="004D3D11" w:rsidRPr="004D3D11" w:rsidRDefault="004D3D11" w:rsidP="00CB7AF1">
      <w:pPr>
        <w:jc w:val="both"/>
        <w:rPr>
          <w:color w:val="0F243E" w:themeColor="text2" w:themeShade="80"/>
        </w:rPr>
      </w:pPr>
    </w:p>
    <w:p w14:paraId="18790401" w14:textId="77777777" w:rsidR="00CB7AF1" w:rsidRPr="004D3D11" w:rsidRDefault="00CB7AF1" w:rsidP="00CB7AF1">
      <w:pPr>
        <w:jc w:val="both"/>
        <w:rPr>
          <w:b/>
          <w:color w:val="0F243E" w:themeColor="text2" w:themeShade="80"/>
        </w:rPr>
      </w:pPr>
      <w:r w:rsidRPr="004D3D11">
        <w:rPr>
          <w:b/>
          <w:color w:val="0F243E" w:themeColor="text2" w:themeShade="80"/>
        </w:rPr>
        <w:t>Mechanizm sprawiedliwej transformacji</w:t>
      </w:r>
    </w:p>
    <w:p w14:paraId="158EFEA8" w14:textId="77777777" w:rsidR="004D3D1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Jak wynika z naszych obliczeń, dla niektórych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grup wysiłek i koszty osiągnięcia neutralności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klimatycznej mogą być znaczące. Mając tego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świadomość, ścieżce działań na rzecz redukcji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emisji gazów cieplarnianych towarzyszy mechanizm sprawiedliwej transformacji, którego podstawowym zadaniem jest wspieranie regionów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najbardziej odczuwających skutki transformacji,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tym koszty niezbędnych zmian. Składa się on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 trzech podstawowych filarów:</w:t>
      </w:r>
    </w:p>
    <w:p w14:paraId="55A23845" w14:textId="1422C93E" w:rsidR="00CB7AF1" w:rsidRPr="004D3D1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• Fundusz na rzecz Sprawiedliwej Transformacji (FST).</w:t>
      </w:r>
    </w:p>
    <w:p w14:paraId="4B5588D5" w14:textId="77777777" w:rsidR="00CB7AF1" w:rsidRPr="004D3D1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 xml:space="preserve">• Specjalny system w ramach programu </w:t>
      </w:r>
      <w:proofErr w:type="spellStart"/>
      <w:r w:rsidRPr="004D3D11">
        <w:rPr>
          <w:color w:val="0F243E" w:themeColor="text2" w:themeShade="80"/>
        </w:rPr>
        <w:t>InvestEU</w:t>
      </w:r>
      <w:proofErr w:type="spellEnd"/>
      <w:r w:rsidRPr="004D3D11">
        <w:rPr>
          <w:color w:val="0F243E" w:themeColor="text2" w:themeShade="80"/>
        </w:rPr>
        <w:t>.</w:t>
      </w:r>
    </w:p>
    <w:p w14:paraId="6454616F" w14:textId="467F3DF2" w:rsidR="00CB7AF1" w:rsidRPr="004D3D1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• Instrument pożyczkowy na rzecz sektora publicznego, łączący środki budżetu UE i Europejskiego</w:t>
      </w:r>
      <w:r w:rsidR="004809C9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Banku Inwestycyjnego.</w:t>
      </w:r>
    </w:p>
    <w:p w14:paraId="3CB11009" w14:textId="5399C8DF" w:rsidR="00CB7AF1" w:rsidRPr="004D3D11" w:rsidRDefault="00CB7AF1" w:rsidP="00CB7AF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Najważniejszym instrumentem mechanizmu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sprawiedliwej transformacji jest z pewnością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pierwszy z wymienionych, ustanowiony na mocy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rozporządzenia Parlamentu Europejskiego i Rady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(UE) 2021</w:t>
      </w:r>
      <w:r w:rsidR="004809C9" w:rsidRPr="004D3D11">
        <w:rPr>
          <w:color w:val="0F243E" w:themeColor="text2" w:themeShade="80"/>
        </w:rPr>
        <w:t>/1056 z dnia 24 czerwca 2021 r.</w:t>
      </w:r>
      <w:r w:rsidR="004809C9" w:rsidRPr="004D3D11">
        <w:rPr>
          <w:rStyle w:val="Odwoanieprzypisudolnego"/>
          <w:color w:val="0F243E" w:themeColor="text2" w:themeShade="80"/>
        </w:rPr>
        <w:footnoteReference w:id="3"/>
      </w:r>
      <w:r w:rsidRPr="004D3D11">
        <w:rPr>
          <w:color w:val="0F243E" w:themeColor="text2" w:themeShade="80"/>
        </w:rPr>
        <w:t xml:space="preserve"> Fundusz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na rzecz Sprawiedliwej Transformacji jest całkiem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nowym instrumentem utworzonym w ramach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perspektywy finansowej na lata 2021-2027 i umocowanym w szeroko pojętej polityce spójności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UE, czyli jednej z najważniejszych, obejmującej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działania na rzecz zmniejszania nierówności między regionami Europy i wspieranie w nich zmian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strukturalnych.</w:t>
      </w:r>
    </w:p>
    <w:p w14:paraId="75D89748" w14:textId="77F888EF" w:rsidR="004809C9" w:rsidRPr="004D3D11" w:rsidRDefault="00CB7AF1" w:rsidP="004809C9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W rozporządzeniu jasno wskazano, iż FST ma</w:t>
      </w:r>
      <w:r w:rsidR="004809C9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przyczyniać się do realizacji jednego celu zdefiniowanego jako „umożliwienie regionom i ludno</w:t>
      </w:r>
      <w:r w:rsidR="004809C9" w:rsidRPr="004D3D11">
        <w:rPr>
          <w:color w:val="0F243E" w:themeColor="text2" w:themeShade="80"/>
        </w:rPr>
        <w:t>ści łagodzenia wpływających na społeczeństwo,</w:t>
      </w:r>
      <w:r w:rsidR="004809C9" w:rsidRPr="004D3D11">
        <w:rPr>
          <w:color w:val="0F243E" w:themeColor="text2" w:themeShade="80"/>
        </w:rPr>
        <w:t xml:space="preserve"> </w:t>
      </w:r>
      <w:r w:rsidR="004809C9" w:rsidRPr="004D3D11">
        <w:rPr>
          <w:color w:val="0F243E" w:themeColor="text2" w:themeShade="80"/>
        </w:rPr>
        <w:t>zatrudnienie, gospodarkę i środowisko skutków</w:t>
      </w:r>
      <w:r w:rsidR="004809C9" w:rsidRPr="004D3D11">
        <w:rPr>
          <w:color w:val="0F243E" w:themeColor="text2" w:themeShade="80"/>
        </w:rPr>
        <w:t xml:space="preserve"> </w:t>
      </w:r>
      <w:r w:rsidR="004809C9" w:rsidRPr="004D3D11">
        <w:rPr>
          <w:color w:val="0F243E" w:themeColor="text2" w:themeShade="80"/>
        </w:rPr>
        <w:t>transformacji w kierunku osiągnięcia celów Unii</w:t>
      </w:r>
      <w:r w:rsidR="004809C9" w:rsidRPr="004D3D11">
        <w:rPr>
          <w:color w:val="0F243E" w:themeColor="text2" w:themeShade="80"/>
        </w:rPr>
        <w:t xml:space="preserve"> </w:t>
      </w:r>
      <w:r w:rsidR="004809C9" w:rsidRPr="004D3D11">
        <w:rPr>
          <w:color w:val="0F243E" w:themeColor="text2" w:themeShade="80"/>
        </w:rPr>
        <w:t>na rok 2030 w dziedzinie energii i klimatu oraz</w:t>
      </w:r>
      <w:r w:rsidR="004809C9" w:rsidRPr="004D3D11">
        <w:rPr>
          <w:color w:val="0F243E" w:themeColor="text2" w:themeShade="80"/>
        </w:rPr>
        <w:t xml:space="preserve"> </w:t>
      </w:r>
      <w:r w:rsidR="004809C9" w:rsidRPr="004D3D11">
        <w:rPr>
          <w:color w:val="0F243E" w:themeColor="text2" w:themeShade="80"/>
        </w:rPr>
        <w:t>w kierunku neutralnej dla klimatu gospodarki Unii</w:t>
      </w:r>
      <w:r w:rsidR="004809C9" w:rsidRPr="004D3D11">
        <w:rPr>
          <w:color w:val="0F243E" w:themeColor="text2" w:themeShade="80"/>
        </w:rPr>
        <w:t xml:space="preserve"> </w:t>
      </w:r>
      <w:r w:rsidR="004809C9" w:rsidRPr="004D3D11">
        <w:rPr>
          <w:color w:val="0F243E" w:themeColor="text2" w:themeShade="80"/>
        </w:rPr>
        <w:t>do roku 2050 w oparciu o porozumienie paryskie”.</w:t>
      </w:r>
      <w:r w:rsidR="004809C9" w:rsidRPr="004D3D11">
        <w:rPr>
          <w:color w:val="0F243E" w:themeColor="text2" w:themeShade="80"/>
        </w:rPr>
        <w:t xml:space="preserve"> </w:t>
      </w:r>
      <w:r w:rsidR="004809C9" w:rsidRPr="004D3D11">
        <w:rPr>
          <w:color w:val="0F243E" w:themeColor="text2" w:themeShade="80"/>
        </w:rPr>
        <w:t>Działania te realizowane są w ramach szerszego celu polityki spójności określonego jako „Inwestycje n</w:t>
      </w:r>
      <w:r w:rsidR="004809C9" w:rsidRPr="004D3D11">
        <w:rPr>
          <w:color w:val="0F243E" w:themeColor="text2" w:themeShade="80"/>
        </w:rPr>
        <w:t>a rzecz zatrudnienia i wzrostu”</w:t>
      </w:r>
      <w:r w:rsidR="004809C9" w:rsidRPr="004D3D11">
        <w:rPr>
          <w:rStyle w:val="Odwoanieprzypisudolnego"/>
          <w:color w:val="0F243E" w:themeColor="text2" w:themeShade="80"/>
        </w:rPr>
        <w:footnoteReference w:id="4"/>
      </w:r>
      <w:r w:rsidR="004809C9" w:rsidRPr="004D3D11">
        <w:rPr>
          <w:color w:val="0F243E" w:themeColor="text2" w:themeShade="80"/>
        </w:rPr>
        <w:t xml:space="preserve">. Ważną cechą tego </w:t>
      </w:r>
      <w:r w:rsidR="004809C9" w:rsidRPr="004D3D11">
        <w:rPr>
          <w:color w:val="0F243E" w:themeColor="text2" w:themeShade="80"/>
        </w:rPr>
        <w:lastRenderedPageBreak/>
        <w:t>mechanizmu jest także wyraźne</w:t>
      </w:r>
      <w:r w:rsidR="004809C9" w:rsidRPr="004D3D11">
        <w:rPr>
          <w:color w:val="0F243E" w:themeColor="text2" w:themeShade="80"/>
        </w:rPr>
        <w:t xml:space="preserve"> </w:t>
      </w:r>
      <w:r w:rsidR="004809C9" w:rsidRPr="004D3D11">
        <w:rPr>
          <w:color w:val="0F243E" w:themeColor="text2" w:themeShade="80"/>
        </w:rPr>
        <w:t>wskazanie zasięgu geograficznego oraz zakresu</w:t>
      </w:r>
      <w:r w:rsidR="004809C9" w:rsidRPr="004D3D11">
        <w:rPr>
          <w:color w:val="0F243E" w:themeColor="text2" w:themeShade="80"/>
        </w:rPr>
        <w:t xml:space="preserve"> </w:t>
      </w:r>
      <w:r w:rsidR="004809C9" w:rsidRPr="004D3D11">
        <w:rPr>
          <w:color w:val="0F243E" w:themeColor="text2" w:themeShade="80"/>
        </w:rPr>
        <w:t>wsparcia w regionach poszczególnych państwa</w:t>
      </w:r>
      <w:r w:rsidR="004809C9" w:rsidRPr="004D3D11">
        <w:rPr>
          <w:color w:val="0F243E" w:themeColor="text2" w:themeShade="80"/>
        </w:rPr>
        <w:t xml:space="preserve"> </w:t>
      </w:r>
      <w:r w:rsidR="004809C9" w:rsidRPr="004D3D11">
        <w:rPr>
          <w:color w:val="0F243E" w:themeColor="text2" w:themeShade="80"/>
        </w:rPr>
        <w:t>członkowskich UE.</w:t>
      </w:r>
    </w:p>
    <w:p w14:paraId="4DB49153" w14:textId="77777777" w:rsidR="004809C9" w:rsidRPr="004D3D11" w:rsidRDefault="004809C9" w:rsidP="004809C9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Środki w dyspozycji Funduszu Sprawiedliwej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Transformacji sięgają 17.5 mld EUR (ceny stałe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2018), w tym 10 mld EUR pochodzi z zasobów I</w:t>
      </w:r>
      <w:r w:rsidRPr="004D3D11">
        <w:rPr>
          <w:color w:val="0F243E" w:themeColor="text2" w:themeShade="80"/>
        </w:rPr>
        <w:t>nstrumentu UE na rzecz Odbudowy</w:t>
      </w:r>
      <w:r w:rsidRPr="004D3D11">
        <w:rPr>
          <w:rStyle w:val="Odwoanieprzypisudolnego"/>
          <w:color w:val="0F243E" w:themeColor="text2" w:themeShade="80"/>
        </w:rPr>
        <w:footnoteReference w:id="5"/>
      </w:r>
      <w:r w:rsidRPr="004D3D11">
        <w:rPr>
          <w:color w:val="0F243E" w:themeColor="text2" w:themeShade="80"/>
        </w:rPr>
        <w:t>, zaś 7.5 mld EUR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 wieloletnich ram finansowych w obszarze polityki spójności w ramach ww. celu inwestycji na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rzecz zatrudnienia i wzrostu. Polska jest największym beneficjentem FST z udziałem 20% dającym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3.5 mld EUR w cenach stałych 2018 r. (na kolejnych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pozycjach znajdują się Niemcy z udziałem 12.88%</w:t>
      </w:r>
      <w:r w:rsidRPr="004D3D11">
        <w:rPr>
          <w:color w:val="0F243E" w:themeColor="text2" w:themeShade="80"/>
        </w:rPr>
        <w:t xml:space="preserve"> i Rumunia z 11.12%</w:t>
      </w:r>
      <w:r w:rsidRPr="004D3D11">
        <w:rPr>
          <w:rStyle w:val="Odwoanieprzypisudolnego"/>
          <w:color w:val="0F243E" w:themeColor="text2" w:themeShade="80"/>
        </w:rPr>
        <w:footnoteReference w:id="6"/>
      </w:r>
      <w:r w:rsidRPr="004D3D11">
        <w:rPr>
          <w:color w:val="0F243E" w:themeColor="text2" w:themeShade="80"/>
        </w:rPr>
        <w:t xml:space="preserve">). </w:t>
      </w:r>
    </w:p>
    <w:p w14:paraId="37E235F0" w14:textId="500953D9" w:rsidR="004809C9" w:rsidRPr="004D3D11" w:rsidRDefault="004809C9" w:rsidP="004809C9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Skala funduszu sprawiedliwej transformacji odpowiada więc skali całkowitych kosztów transformacji dla pracowników, które, według oszacowań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przedstawionych powyżej, wyniosą do 0,7 mld zł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rocznie, przy czym należy wyraźnie podkreślić,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iż wyniki modelowe obejmują znacznie dłuższą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perspektywę czasową, zaś instrumenty wsparcia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UE odnoszą się do okresu do 2027 roku i w obecnie nie mamy pewności, czy będą w podobnym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kształcie kontynuowane.</w:t>
      </w:r>
    </w:p>
    <w:p w14:paraId="1D9EA8AE" w14:textId="77777777" w:rsidR="004D3D11" w:rsidRPr="004D3D11" w:rsidRDefault="004809C9" w:rsidP="004809C9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Zgodnie z wymogami państwa członkowskie upoważnione do otrzymania wsparcia przygotowują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terytorialne plany sprawiedliwej transformacji ze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wskazaniem działań, które będzie wspierać FST,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przy czym uprawnione działania są precyzyjnie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zdefiniowane i obejmują głównie określone inwestycje przyczyniające się do osiągnięcia celu FST,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ale także działania na rzecz podnoszenia i zmiany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kwalifikacji zawodowych, wspomagające osoby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poszukujące pracy czy przeciwdziałające wykluczeniu z rynku pracy.</w:t>
      </w:r>
      <w:r w:rsidR="004D3D11" w:rsidRPr="004D3D11">
        <w:rPr>
          <w:color w:val="0F243E" w:themeColor="text2" w:themeShade="80"/>
        </w:rPr>
        <w:t xml:space="preserve"> </w:t>
      </w:r>
    </w:p>
    <w:p w14:paraId="19AC312D" w14:textId="01E62C08" w:rsidR="004809C9" w:rsidRPr="004D3D11" w:rsidRDefault="004809C9" w:rsidP="004809C9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W przypadku Polski Komisja Europejska w dniu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5 grudnia 2022 r. przyjęła pięć polskich programów operacyjnych z terytorialnymi planami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sprawiedliwej transformacji finansowane w ramach Funduszu</w:t>
      </w:r>
      <w:r w:rsidR="004D3D11" w:rsidRPr="004D3D11">
        <w:rPr>
          <w:rStyle w:val="Odwoanieprzypisudolnego"/>
          <w:color w:val="0F243E" w:themeColor="text2" w:themeShade="80"/>
        </w:rPr>
        <w:footnoteReference w:id="7"/>
      </w:r>
      <w:r w:rsidRPr="004D3D11">
        <w:rPr>
          <w:color w:val="0F243E" w:themeColor="text2" w:themeShade="80"/>
        </w:rPr>
        <w:t>. Ich wartość wynosi 3,85 mld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euro (odpowiednik 3,5 mld euro w cenach stałych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2018) i dotyczy wsparcia obszarów górniczych na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Śląsku i w zachodniej Małopolsce (2,4 mld euro),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Wielkopolsce (415 mln euro), na Dolnym Śląsku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(581,5 mln euro) oraz i w województwie łódzkim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(369,5 mln euro).</w:t>
      </w:r>
    </w:p>
    <w:p w14:paraId="0E814586" w14:textId="4564F889" w:rsidR="004D3D11" w:rsidRPr="004D3D11" w:rsidRDefault="004809C9" w:rsidP="004D3D1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Drugim ważnym filarem wspierającym finansowanie mechanizmu sprawiedliwej transformacji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jest specjalny system wsparcia w ramach programu </w:t>
      </w:r>
      <w:proofErr w:type="spellStart"/>
      <w:r w:rsidRPr="004D3D11">
        <w:rPr>
          <w:color w:val="0F243E" w:themeColor="text2" w:themeShade="80"/>
        </w:rPr>
        <w:t>InvestEU</w:t>
      </w:r>
      <w:proofErr w:type="spellEnd"/>
      <w:r w:rsidRPr="004D3D11">
        <w:rPr>
          <w:color w:val="0F243E" w:themeColor="text2" w:themeShade="80"/>
        </w:rPr>
        <w:t xml:space="preserve"> – kolejny element Instrumentu na</w:t>
      </w:r>
      <w:r w:rsidR="004D3D11"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rzecz Odbudowy i Zwiększania Odporności. Pro</w:t>
      </w:r>
      <w:r w:rsidR="004D3D11" w:rsidRPr="004D3D11">
        <w:rPr>
          <w:color w:val="0F243E" w:themeColor="text2" w:themeShade="80"/>
        </w:rPr>
        <w:t xml:space="preserve"> </w:t>
      </w:r>
      <w:r w:rsidR="004D3D11" w:rsidRPr="004D3D11">
        <w:rPr>
          <w:color w:val="0F243E" w:themeColor="text2" w:themeShade="80"/>
        </w:rPr>
        <w:t>gram ten został przygotowany w celu wspierania</w:t>
      </w:r>
      <w:r w:rsidR="004D3D11" w:rsidRPr="004D3D11">
        <w:rPr>
          <w:color w:val="0F243E" w:themeColor="text2" w:themeShade="80"/>
        </w:rPr>
        <w:t xml:space="preserve"> </w:t>
      </w:r>
      <w:r w:rsidR="004D3D11" w:rsidRPr="004D3D11">
        <w:rPr>
          <w:color w:val="0F243E" w:themeColor="text2" w:themeShade="80"/>
        </w:rPr>
        <w:t>polityk UE w wychodzeniu z głębokiego kryzysu</w:t>
      </w:r>
      <w:r w:rsidR="004D3D11" w:rsidRPr="004D3D11">
        <w:rPr>
          <w:color w:val="0F243E" w:themeColor="text2" w:themeShade="80"/>
        </w:rPr>
        <w:t xml:space="preserve"> </w:t>
      </w:r>
      <w:r w:rsidR="004D3D11" w:rsidRPr="004D3D11">
        <w:rPr>
          <w:color w:val="0F243E" w:themeColor="text2" w:themeShade="80"/>
        </w:rPr>
        <w:t>gospodarczego i społecznego, w tym zapewnienia długoterminowa finansowania przedsiębiorstwom, przy jednoczesnym uwzględnieniu długoterminowych priorytetów UE, takich jak Europejski</w:t>
      </w:r>
      <w:r w:rsidR="004D3D11" w:rsidRPr="004D3D11">
        <w:rPr>
          <w:color w:val="0F243E" w:themeColor="text2" w:themeShade="80"/>
        </w:rPr>
        <w:t xml:space="preserve"> </w:t>
      </w:r>
      <w:r w:rsidR="004D3D11" w:rsidRPr="004D3D11">
        <w:rPr>
          <w:color w:val="0F243E" w:themeColor="text2" w:themeShade="80"/>
        </w:rPr>
        <w:t xml:space="preserve">Zielony Ład. Program </w:t>
      </w:r>
      <w:proofErr w:type="spellStart"/>
      <w:r w:rsidR="004D3D11" w:rsidRPr="004D3D11">
        <w:rPr>
          <w:color w:val="0F243E" w:themeColor="text2" w:themeShade="80"/>
        </w:rPr>
        <w:t>InvestEU</w:t>
      </w:r>
      <w:proofErr w:type="spellEnd"/>
      <w:r w:rsidR="004D3D11" w:rsidRPr="004D3D11">
        <w:rPr>
          <w:color w:val="0F243E" w:themeColor="text2" w:themeShade="80"/>
        </w:rPr>
        <w:t xml:space="preserve"> może wspierać inwestycje realizowane w ramach planów sprawiedliwej transformacji, niemniej w nieco szerszym</w:t>
      </w:r>
      <w:r w:rsidR="004D3D11" w:rsidRPr="004D3D11">
        <w:rPr>
          <w:color w:val="0F243E" w:themeColor="text2" w:themeShade="80"/>
        </w:rPr>
        <w:t xml:space="preserve"> </w:t>
      </w:r>
      <w:r w:rsidR="004D3D11" w:rsidRPr="004D3D11">
        <w:rPr>
          <w:color w:val="0F243E" w:themeColor="text2" w:themeShade="80"/>
        </w:rPr>
        <w:t>zakresie niż określa to rozporządzenie FST (np.</w:t>
      </w:r>
      <w:r w:rsidR="004D3D11" w:rsidRPr="004D3D11">
        <w:rPr>
          <w:color w:val="0F243E" w:themeColor="text2" w:themeShade="80"/>
        </w:rPr>
        <w:t xml:space="preserve"> </w:t>
      </w:r>
      <w:r w:rsidR="004D3D11" w:rsidRPr="004D3D11">
        <w:rPr>
          <w:color w:val="0F243E" w:themeColor="text2" w:themeShade="80"/>
        </w:rPr>
        <w:t xml:space="preserve">projekty w dziedzinie infrastruktury energetycznej i </w:t>
      </w:r>
      <w:r w:rsidR="004D3D11" w:rsidRPr="004D3D11">
        <w:rPr>
          <w:color w:val="0F243E" w:themeColor="text2" w:themeShade="80"/>
        </w:rPr>
        <w:lastRenderedPageBreak/>
        <w:t>transportowej, w tym infrastruktury gazowej</w:t>
      </w:r>
      <w:r w:rsidR="004D3D11" w:rsidRPr="004D3D11">
        <w:rPr>
          <w:color w:val="0F243E" w:themeColor="text2" w:themeShade="80"/>
        </w:rPr>
        <w:t xml:space="preserve"> </w:t>
      </w:r>
      <w:r w:rsidR="004D3D11" w:rsidRPr="004D3D11">
        <w:rPr>
          <w:color w:val="0F243E" w:themeColor="text2" w:themeShade="80"/>
        </w:rPr>
        <w:t>i ciepłownictwa komunalnego, projekty w zakresie obniżenia emisyjności, dywersyfikacji gospodarczej i infrastruktury społecznej).</w:t>
      </w:r>
    </w:p>
    <w:p w14:paraId="6CD77C05" w14:textId="43205EE7" w:rsidR="00CB7AF1" w:rsidRPr="004D3D11" w:rsidRDefault="004D3D11" w:rsidP="004D3D1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 xml:space="preserve">Celem funduszu </w:t>
      </w:r>
      <w:proofErr w:type="spellStart"/>
      <w:r w:rsidRPr="004D3D11">
        <w:rPr>
          <w:color w:val="0F243E" w:themeColor="text2" w:themeShade="80"/>
        </w:rPr>
        <w:t>InvestEU</w:t>
      </w:r>
      <w:proofErr w:type="spellEnd"/>
      <w:r w:rsidRPr="004D3D11">
        <w:rPr>
          <w:color w:val="0F243E" w:themeColor="text2" w:themeShade="80"/>
        </w:rPr>
        <w:t xml:space="preserve"> jest zmobilizowanie ponad 372 mld EUR środków prywatnych i publicznych na inwestycje, przy gwarancjach budżetowych UE na poziomie 26.2 mld EUR. Owe gwarancje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mają wspomagać finansowanie z innych źródeł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pozyskiwane przez podmioty realizujące projekty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regionach objętych sprawiedliwą transformacją (z zatwierdzonym terytorialnym planem sprawiedliwej transformacji). Niemniej projekty, które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nie są zlokalizowane w tych regionach, również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mogą zostać objęte tym systemem, pod warunkiem że przyczynią się do zaspokojenia potrzeb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rozwojowych, które są związane z transformacją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tych regionów i określone w odpowiednich terytorialnych planach sprawiedliwej transformacji.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Warto dodać, że wykorzystanie środków funduszu</w:t>
      </w:r>
      <w:r w:rsidRPr="004D3D11">
        <w:rPr>
          <w:color w:val="0F243E" w:themeColor="text2" w:themeShade="80"/>
        </w:rPr>
        <w:t xml:space="preserve"> </w:t>
      </w:r>
      <w:proofErr w:type="spellStart"/>
      <w:r w:rsidRPr="004D3D11">
        <w:rPr>
          <w:color w:val="0F243E" w:themeColor="text2" w:themeShade="80"/>
        </w:rPr>
        <w:t>InvestEU</w:t>
      </w:r>
      <w:proofErr w:type="spellEnd"/>
      <w:r w:rsidRPr="004D3D11">
        <w:rPr>
          <w:color w:val="0F243E" w:themeColor="text2" w:themeShade="80"/>
        </w:rPr>
        <w:t xml:space="preserve"> jest skorelowane z Planem Inwestycyjn</w:t>
      </w:r>
      <w:r w:rsidRPr="004D3D11">
        <w:rPr>
          <w:color w:val="0F243E" w:themeColor="text2" w:themeShade="80"/>
        </w:rPr>
        <w:t>ym Europejskiego Zielonego Ładu</w:t>
      </w:r>
      <w:r w:rsidRPr="004D3D11">
        <w:rPr>
          <w:rStyle w:val="Odwoanieprzypisudolnego"/>
          <w:color w:val="0F243E" w:themeColor="text2" w:themeShade="80"/>
        </w:rPr>
        <w:footnoteReference w:id="8"/>
      </w:r>
      <w:r w:rsidRPr="004D3D11">
        <w:rPr>
          <w:color w:val="0F243E" w:themeColor="text2" w:themeShade="80"/>
        </w:rPr>
        <w:t xml:space="preserve">. Centrum Doradztwa </w:t>
      </w:r>
      <w:proofErr w:type="spellStart"/>
      <w:r w:rsidRPr="004D3D11">
        <w:rPr>
          <w:color w:val="0F243E" w:themeColor="text2" w:themeShade="80"/>
        </w:rPr>
        <w:t>InvestEU</w:t>
      </w:r>
      <w:proofErr w:type="spellEnd"/>
      <w:r w:rsidRPr="004D3D11">
        <w:rPr>
          <w:color w:val="0F243E" w:themeColor="text2" w:themeShade="80"/>
        </w:rPr>
        <w:t xml:space="preserve"> (The </w:t>
      </w:r>
      <w:proofErr w:type="spellStart"/>
      <w:r w:rsidRPr="004D3D11">
        <w:rPr>
          <w:color w:val="0F243E" w:themeColor="text2" w:themeShade="80"/>
        </w:rPr>
        <w:t>InvestEU</w:t>
      </w:r>
      <w:proofErr w:type="spellEnd"/>
      <w:r w:rsidRPr="004D3D11">
        <w:rPr>
          <w:color w:val="0F243E" w:themeColor="text2" w:themeShade="80"/>
        </w:rPr>
        <w:t xml:space="preserve"> </w:t>
      </w:r>
      <w:proofErr w:type="spellStart"/>
      <w:r w:rsidRPr="004D3D11">
        <w:rPr>
          <w:color w:val="0F243E" w:themeColor="text2" w:themeShade="80"/>
        </w:rPr>
        <w:t>Advisory</w:t>
      </w:r>
      <w:proofErr w:type="spellEnd"/>
      <w:r w:rsidRPr="004D3D11">
        <w:rPr>
          <w:color w:val="0F243E" w:themeColor="text2" w:themeShade="80"/>
        </w:rPr>
        <w:t xml:space="preserve"> Hub) ma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wspierać tworzenie projektów wpisujących się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ten plan inwestycyjny i zapewnić wzmacnianie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potencjału podmiotów wdrażających czy też pośredników finansowych.</w:t>
      </w:r>
    </w:p>
    <w:p w14:paraId="0CED13AB" w14:textId="05B54D59" w:rsidR="004D3D11" w:rsidRPr="004D3D11" w:rsidRDefault="004D3D11" w:rsidP="004D3D1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Trzecim filarem finansowym mechanizmu sprawiedliwej transformacji jest instrument pożyczkowy na rzecz sektora publicznego, łączący środki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budżetu UE i Europejskiego Banku Inwestycyjnego,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 założenia wspierający inwestycje sektora publicznego w regionach przechodzących transformację. W ramach tego wsparcia sektor publiczny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może otrzymywać pożyczki preferencyjne na działania podejmowane przez podmioty publiczne,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tym inwestycje w zakresie infrastruktury energetycznej i transportowej, sieci ciepłowniczych,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środków na rzecz efektywności energetycznej,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renowacji budynków, a także infrastruktury społecznej. Wykluczone są inwestycje związane z wykorzystaniem paliw kopalnych.</w:t>
      </w:r>
    </w:p>
    <w:p w14:paraId="4BE58EFF" w14:textId="30FE8CEE" w:rsidR="004D3D11" w:rsidRDefault="004D3D11" w:rsidP="004D3D1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Sprawiedliwa transformacja wspierana jest także w ramach Funduszu modernizacyjnego utworzonego na mocy dyrektywy EU ETS. Wprawdzie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instrument ten przeznaczony jest przede wszystkim na inwestycje w modernizację sektora energetycznego w kierunku poprawy efektywności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i odejścia od technologii opartych na paliwach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kopalnych, wśród uprawnionych działań mogących uzyskać finansowanie z tego źródła wymienia się także transformację sprawiedliwych przemian w regionach uzależnionych od węgla, w tym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zmianę miejsca zatrudnienia oraz zdobywanie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nowych umiejętności przez pracowników oraz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wspieranie edukacji i inicjatyw na rzecz zwiększenia zatrudnienia. Środki Funduszu modernizacyjnego pochodzą ze sprzedaży uprawnień wydzielonych w ramach EU ETS. Przewidziano, iż w latach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2021-2030 będzie to 2% całkowitej puli uprawnień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do emisji, a beneficjentami jest dziesięć państw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członkowskich wskazanych na podstawie kryterium PKB na mieszkańca. Polska jest największym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beneficjentem Funduszy modernizacyjnego,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z udziałem 43,4% w przeznaczonej do sprzedaży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puli uprawnień do emisji.</w:t>
      </w:r>
    </w:p>
    <w:p w14:paraId="30715B22" w14:textId="77777777" w:rsidR="004D3D11" w:rsidRPr="004D3D11" w:rsidRDefault="004D3D11" w:rsidP="004D3D11">
      <w:pPr>
        <w:jc w:val="both"/>
        <w:rPr>
          <w:color w:val="0F243E" w:themeColor="text2" w:themeShade="80"/>
        </w:rPr>
      </w:pPr>
    </w:p>
    <w:p w14:paraId="7B5B763C" w14:textId="77777777" w:rsidR="004D3D11" w:rsidRPr="004D3D11" w:rsidRDefault="004D3D11" w:rsidP="004D3D11">
      <w:pPr>
        <w:jc w:val="both"/>
        <w:rPr>
          <w:b/>
          <w:color w:val="0F243E" w:themeColor="text2" w:themeShade="80"/>
        </w:rPr>
      </w:pPr>
      <w:r w:rsidRPr="004D3D11">
        <w:rPr>
          <w:b/>
          <w:color w:val="0F243E" w:themeColor="text2" w:themeShade="80"/>
        </w:rPr>
        <w:lastRenderedPageBreak/>
        <w:t>Konkluzje i rekomendacje</w:t>
      </w:r>
    </w:p>
    <w:p w14:paraId="631EF680" w14:textId="73ED8FB2" w:rsidR="004D3D11" w:rsidRPr="004D3D11" w:rsidRDefault="004D3D11" w:rsidP="004D3D1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Nasza analiza wskazuje, że transformacja niskoemisyjna będzie się wiązać ze stratą dochodów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dla niektórych grup pracowników, szczególnie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tych, którzy są obecnie zatrudnienia w sektorach wysokoemisyjnych. Symulacje modelu makroekonomicznego wskazuję, że koszty w Polsce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mogą wynieść nawet 0,7mld euro rocznie pod koniec tej dekady. Koszty te z założenia mają zostać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skompensowane przez fundusze Unii Europejskiej,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takie jak fundusz sprawiedliwej transformacji. Nasza analiza kosztów wskazuje, że skala funduszu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sprawiedliwej transformacji odpowiada skali całkowitych kosztów transformacji dla pracowników.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Otwartym pytaniem pozostaje to jak wykorzystać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środki z funduszy europejskich, aby przyniosły one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jak największą korzyść.</w:t>
      </w:r>
    </w:p>
    <w:p w14:paraId="3D48811F" w14:textId="29E634A8" w:rsidR="004D3D11" w:rsidRPr="004D3D11" w:rsidRDefault="004D3D11" w:rsidP="004D3D1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Strata związana z transferem może zostać zredukowana przez inwestycje dedykowane tworzeniu miejsc pracy dostosowanych do zdolności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i kompetencji pracowników zatrudnionych obecnie w górnictwie. Przetwórstwo przemysłowe oraz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budownictwo to dwie gałęzie gospodarki, które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potencjalnie mogłyby przyjąć pracowników odchodzących z górnictwa. Można rozważyć zachęcanie i wspieranie firm zatrudniających górników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do rozpoczynania działalności neutralnej emisyjnie. Pozwoliłoby to na przesuwanie grup pracowników do nowej produktywnej działalności w ramach jednego przedsiębiorstwa.</w:t>
      </w:r>
    </w:p>
    <w:p w14:paraId="26CAB4D2" w14:textId="461DB171" w:rsidR="004D3D11" w:rsidRPr="004D3D11" w:rsidRDefault="004D3D11" w:rsidP="004D3D1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To zminimalizowałoby koszty związane z niepewnością i poszukiwaniem nowej pracy. Dodatkowo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takie rozwiązanie redukowałoby ryzyko niedopasowania kompetencji pracowników do wymagań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nowym miejscu pracy, ponieważ obecny pracodawca posiada najlepszą informację o kompetencjach pracowników.</w:t>
      </w:r>
    </w:p>
    <w:p w14:paraId="32EA8A61" w14:textId="45AE20EF" w:rsidR="004D3D11" w:rsidRPr="004D3D11" w:rsidRDefault="004D3D11" w:rsidP="004D3D1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Mimo, że koszty przymusowego transferu rosną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dopiero w odległej perspektywie, działania zmierzające do ich pomniejszenia powinny być podejmowane już dziś. Szczególnie dotyczy to inwestycji,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których przygotowanie i realizacja wymaga czasu.</w:t>
      </w:r>
    </w:p>
    <w:p w14:paraId="7F7EEC97" w14:textId="736C68D1" w:rsidR="004D3D11" w:rsidRDefault="004D3D11" w:rsidP="004D3D11">
      <w:pPr>
        <w:jc w:val="both"/>
        <w:rPr>
          <w:color w:val="0F243E" w:themeColor="text2" w:themeShade="80"/>
        </w:rPr>
      </w:pPr>
      <w:r w:rsidRPr="004D3D11">
        <w:rPr>
          <w:color w:val="0F243E" w:themeColor="text2" w:themeShade="80"/>
        </w:rPr>
        <w:t>Ważną konkluzją wynikającą z zestawienia wyników analizy modelowej z wspólnotowymi instrumentami wsparcia jest to, iż koszty transformacji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dla pracowników mogą być kompensowane nie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tylko przez korzystanie z Funduszu Sprawiedliwej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 xml:space="preserve">Transformacji ale także poprzez skuteczne wykorzystanie pozostałych dwóch filarów, tj. programu </w:t>
      </w:r>
      <w:proofErr w:type="spellStart"/>
      <w:r w:rsidRPr="004D3D11">
        <w:rPr>
          <w:color w:val="0F243E" w:themeColor="text2" w:themeShade="80"/>
        </w:rPr>
        <w:t>InvestEU</w:t>
      </w:r>
      <w:proofErr w:type="spellEnd"/>
      <w:r w:rsidRPr="004D3D11">
        <w:rPr>
          <w:color w:val="0F243E" w:themeColor="text2" w:themeShade="80"/>
        </w:rPr>
        <w:t xml:space="preserve"> oraz mechanizmu pożyczkowego.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Ponadto, koszty transformacji będą ponoszone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okresie dłuższym niż zakres dzisiejszych rozwiązań, stąd konieczna wydaje się kontynuacja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dyskusji i pracy nad kontynuacją obecnych lub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opracowaniem nowych instrumentów wparcia</w:t>
      </w:r>
      <w:r w:rsidRPr="004D3D11">
        <w:rPr>
          <w:color w:val="0F243E" w:themeColor="text2" w:themeShade="80"/>
        </w:rPr>
        <w:t xml:space="preserve"> </w:t>
      </w:r>
      <w:r w:rsidRPr="004D3D11">
        <w:rPr>
          <w:color w:val="0F243E" w:themeColor="text2" w:themeShade="80"/>
        </w:rPr>
        <w:t>w kolejnych dekadach.</w:t>
      </w:r>
    </w:p>
    <w:p w14:paraId="20FE1AF4" w14:textId="77777777" w:rsidR="004D3D11" w:rsidRDefault="004D3D11" w:rsidP="004D3D11">
      <w:pPr>
        <w:jc w:val="both"/>
        <w:rPr>
          <w:color w:val="0F243E" w:themeColor="text2" w:themeShade="80"/>
        </w:rPr>
      </w:pPr>
    </w:p>
    <w:p w14:paraId="7C86783D" w14:textId="675BF640" w:rsidR="004D3D11" w:rsidRPr="00982FEA" w:rsidRDefault="004D3D11" w:rsidP="00982FEA">
      <w:pPr>
        <w:spacing w:after="0"/>
        <w:rPr>
          <w:b/>
          <w:color w:val="0F243E" w:themeColor="text2" w:themeShade="80"/>
        </w:rPr>
      </w:pPr>
      <w:r w:rsidRPr="00982FEA">
        <w:rPr>
          <w:b/>
          <w:color w:val="0F243E" w:themeColor="text2" w:themeShade="80"/>
        </w:rPr>
        <w:t>Autor</w:t>
      </w:r>
      <w:r w:rsidR="00982FEA">
        <w:rPr>
          <w:b/>
          <w:color w:val="0F243E" w:themeColor="text2" w:themeShade="80"/>
        </w:rPr>
        <w:t>zy</w:t>
      </w:r>
      <w:r w:rsidRPr="00982FEA">
        <w:rPr>
          <w:b/>
          <w:color w:val="0F243E" w:themeColor="text2" w:themeShade="80"/>
        </w:rPr>
        <w:t>:</w:t>
      </w:r>
    </w:p>
    <w:p w14:paraId="65D85C1F" w14:textId="426871E8" w:rsidR="004D3D11" w:rsidRPr="004D3D11" w:rsidRDefault="004D3D11" w:rsidP="00BF522C">
      <w:pPr>
        <w:spacing w:after="0"/>
        <w:rPr>
          <w:color w:val="0F243E" w:themeColor="text2" w:themeShade="80"/>
        </w:rPr>
      </w:pPr>
      <w:bookmarkStart w:id="0" w:name="_GoBack"/>
      <w:r w:rsidRPr="00D41348">
        <w:rPr>
          <w:b/>
          <w:color w:val="0F243E" w:themeColor="text2" w:themeShade="80"/>
        </w:rPr>
        <w:t xml:space="preserve">Jan </w:t>
      </w:r>
      <w:proofErr w:type="spellStart"/>
      <w:r w:rsidRPr="00D41348">
        <w:rPr>
          <w:b/>
          <w:color w:val="0F243E" w:themeColor="text2" w:themeShade="80"/>
        </w:rPr>
        <w:t>Witajewski</w:t>
      </w:r>
      <w:proofErr w:type="spellEnd"/>
      <w:r w:rsidRPr="00D41348">
        <w:rPr>
          <w:b/>
          <w:color w:val="0F243E" w:themeColor="text2" w:themeShade="80"/>
        </w:rPr>
        <w:t xml:space="preserve"> – </w:t>
      </w:r>
      <w:proofErr w:type="spellStart"/>
      <w:r w:rsidRPr="00D41348">
        <w:rPr>
          <w:b/>
          <w:color w:val="0F243E" w:themeColor="text2" w:themeShade="80"/>
        </w:rPr>
        <w:t>Baltvilks</w:t>
      </w:r>
      <w:bookmarkEnd w:id="0"/>
      <w:proofErr w:type="spellEnd"/>
      <w:r w:rsidR="00BF522C">
        <w:rPr>
          <w:color w:val="0F243E" w:themeColor="text2" w:themeShade="80"/>
        </w:rPr>
        <w:t xml:space="preserve">, </w:t>
      </w:r>
      <w:r w:rsidR="00BF522C" w:rsidRPr="00BF522C">
        <w:rPr>
          <w:color w:val="0F243E" w:themeColor="text2" w:themeShade="80"/>
        </w:rPr>
        <w:t>Zespół Strategii Analiz i Aukcji,</w:t>
      </w:r>
      <w:r w:rsidR="00BF522C">
        <w:rPr>
          <w:color w:val="0F243E" w:themeColor="text2" w:themeShade="80"/>
        </w:rPr>
        <w:t xml:space="preserve"> </w:t>
      </w:r>
      <w:r w:rsidR="00BF522C" w:rsidRPr="00BF522C">
        <w:rPr>
          <w:color w:val="0F243E" w:themeColor="text2" w:themeShade="80"/>
        </w:rPr>
        <w:t>Centrum Analiz Klimatyczno-</w:t>
      </w:r>
      <w:r w:rsidR="00BF522C">
        <w:rPr>
          <w:color w:val="0F243E" w:themeColor="text2" w:themeShade="80"/>
        </w:rPr>
        <w:t>E</w:t>
      </w:r>
      <w:r w:rsidR="00BF522C" w:rsidRPr="00BF522C">
        <w:rPr>
          <w:color w:val="0F243E" w:themeColor="text2" w:themeShade="80"/>
        </w:rPr>
        <w:t>nergetycznych,</w:t>
      </w:r>
      <w:r w:rsidR="00BF522C">
        <w:rPr>
          <w:color w:val="0F243E" w:themeColor="text2" w:themeShade="80"/>
        </w:rPr>
        <w:t xml:space="preserve"> </w:t>
      </w:r>
      <w:proofErr w:type="spellStart"/>
      <w:r w:rsidR="00BF522C" w:rsidRPr="00BF522C">
        <w:rPr>
          <w:color w:val="0F243E" w:themeColor="text2" w:themeShade="80"/>
        </w:rPr>
        <w:t>KOBiZE</w:t>
      </w:r>
      <w:proofErr w:type="spellEnd"/>
      <w:r w:rsidR="00BF522C">
        <w:rPr>
          <w:color w:val="0F243E" w:themeColor="text2" w:themeShade="80"/>
        </w:rPr>
        <w:t xml:space="preserve"> w IOŚ-PIB</w:t>
      </w:r>
    </w:p>
    <w:p w14:paraId="394A2C31" w14:textId="649855C9" w:rsidR="004D3D11" w:rsidRPr="004D3D11" w:rsidRDefault="004D3D11" w:rsidP="00BF522C">
      <w:pPr>
        <w:spacing w:after="0"/>
        <w:rPr>
          <w:color w:val="0F243E" w:themeColor="text2" w:themeShade="80"/>
        </w:rPr>
      </w:pPr>
      <w:r w:rsidRPr="00D41348">
        <w:rPr>
          <w:b/>
          <w:color w:val="0F243E" w:themeColor="text2" w:themeShade="80"/>
        </w:rPr>
        <w:t>Maciej Cygler</w:t>
      </w:r>
      <w:r w:rsidR="00BF522C">
        <w:rPr>
          <w:color w:val="0F243E" w:themeColor="text2" w:themeShade="80"/>
        </w:rPr>
        <w:t xml:space="preserve">, </w:t>
      </w:r>
      <w:r w:rsidR="00BF522C" w:rsidRPr="00BF522C">
        <w:rPr>
          <w:color w:val="0F243E" w:themeColor="text2" w:themeShade="80"/>
        </w:rPr>
        <w:t>Zespół Strategii Analiz i Aukcji,</w:t>
      </w:r>
      <w:r w:rsidR="00BF522C">
        <w:rPr>
          <w:color w:val="0F243E" w:themeColor="text2" w:themeShade="80"/>
        </w:rPr>
        <w:t xml:space="preserve"> </w:t>
      </w:r>
      <w:r w:rsidR="00BF522C" w:rsidRPr="00BF522C">
        <w:rPr>
          <w:color w:val="0F243E" w:themeColor="text2" w:themeShade="80"/>
        </w:rPr>
        <w:t>Centrum Analiz Klimatyczno-Energetycznych,</w:t>
      </w:r>
      <w:r w:rsidR="00D41348">
        <w:rPr>
          <w:color w:val="0F243E" w:themeColor="text2" w:themeShade="80"/>
        </w:rPr>
        <w:t xml:space="preserve"> </w:t>
      </w:r>
      <w:proofErr w:type="spellStart"/>
      <w:r w:rsidR="00BF522C" w:rsidRPr="00BF522C">
        <w:rPr>
          <w:color w:val="0F243E" w:themeColor="text2" w:themeShade="80"/>
        </w:rPr>
        <w:t>KOBiZE</w:t>
      </w:r>
      <w:proofErr w:type="spellEnd"/>
      <w:r w:rsidR="00D41348">
        <w:rPr>
          <w:color w:val="0F243E" w:themeColor="text2" w:themeShade="80"/>
        </w:rPr>
        <w:t xml:space="preserve"> w IOŚ-PIB</w:t>
      </w:r>
    </w:p>
    <w:sectPr w:rsidR="004D3D11" w:rsidRPr="004D3D11" w:rsidSect="006539AD">
      <w:headerReference w:type="default" r:id="rId8"/>
      <w:footerReference w:type="even" r:id="rId9"/>
      <w:footerReference w:type="default" r:id="rId10"/>
      <w:type w:val="continuous"/>
      <w:pgSz w:w="11900" w:h="16840"/>
      <w:pgMar w:top="2835" w:right="1418" w:bottom="1418" w:left="1418" w:header="709" w:footer="5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846F2" w16cid:durableId="27C2B87F"/>
  <w16cid:commentId w16cid:paraId="2BE6974B" w16cid:durableId="27C2B880"/>
  <w16cid:commentId w16cid:paraId="4846E8DE" w16cid:durableId="27C2B8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EB1EF" w14:textId="77777777" w:rsidR="008A3D0E" w:rsidRDefault="008A3D0E">
      <w:pPr>
        <w:spacing w:after="0" w:line="240" w:lineRule="auto"/>
      </w:pPr>
      <w:r>
        <w:separator/>
      </w:r>
    </w:p>
  </w:endnote>
  <w:endnote w:type="continuationSeparator" w:id="0">
    <w:p w14:paraId="5C6D0FF2" w14:textId="77777777" w:rsidR="008A3D0E" w:rsidRDefault="008A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8CFF" w14:textId="77777777" w:rsidR="00755788" w:rsidRDefault="001F4064" w:rsidP="00EA736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450E67C" w14:textId="77777777" w:rsidR="00755788" w:rsidRDefault="008A3D0E" w:rsidP="00204FB2">
    <w:pPr>
      <w:pStyle w:val="Stopka"/>
      <w:ind w:right="360"/>
    </w:pPr>
  </w:p>
  <w:p w14:paraId="1EA6E057" w14:textId="77777777" w:rsidR="00755788" w:rsidRDefault="008A3D0E"/>
  <w:p w14:paraId="02F9336A" w14:textId="77777777" w:rsidR="00755788" w:rsidRDefault="008A3D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26C9" w14:textId="02A0F197" w:rsidR="00755788" w:rsidRPr="00EA054C" w:rsidRDefault="001F4064" w:rsidP="00562694">
    <w:pPr>
      <w:pStyle w:val="Stopka"/>
      <w:framePr w:w="227" w:h="170" w:hRule="exact" w:wrap="around" w:vAnchor="page" w:hAnchor="page" w:x="10207" w:y="15594"/>
      <w:jc w:val="right"/>
      <w:rPr>
        <w:rStyle w:val="Numerstrony"/>
        <w:sz w:val="16"/>
        <w:szCs w:val="16"/>
      </w:rPr>
    </w:pPr>
    <w:r w:rsidRPr="00EA054C">
      <w:rPr>
        <w:rStyle w:val="Numerstrony"/>
        <w:sz w:val="16"/>
        <w:szCs w:val="16"/>
      </w:rPr>
      <w:fldChar w:fldCharType="begin"/>
    </w:r>
    <w:r w:rsidRPr="00EA054C">
      <w:rPr>
        <w:rStyle w:val="Numerstrony"/>
        <w:sz w:val="16"/>
        <w:szCs w:val="16"/>
      </w:rPr>
      <w:instrText xml:space="preserve"> PAGE </w:instrText>
    </w:r>
    <w:r w:rsidRPr="00EA054C">
      <w:rPr>
        <w:rStyle w:val="Numerstrony"/>
        <w:sz w:val="16"/>
        <w:szCs w:val="16"/>
      </w:rPr>
      <w:fldChar w:fldCharType="separate"/>
    </w:r>
    <w:r w:rsidR="00D41348">
      <w:rPr>
        <w:rStyle w:val="Numerstrony"/>
        <w:sz w:val="16"/>
        <w:szCs w:val="16"/>
      </w:rPr>
      <w:t>9</w:t>
    </w:r>
    <w:r w:rsidRPr="00EA054C">
      <w:rPr>
        <w:rStyle w:val="Numerstrony"/>
        <w:sz w:val="16"/>
        <w:szCs w:val="16"/>
      </w:rPr>
      <w:fldChar w:fldCharType="end"/>
    </w:r>
  </w:p>
  <w:p w14:paraId="4EE7A870" w14:textId="38F76ABF" w:rsidR="00755788" w:rsidRPr="00BA6BD0" w:rsidRDefault="007605DA" w:rsidP="00CE229E">
    <w:pPr>
      <w:pStyle w:val="Stopka"/>
      <w:tabs>
        <w:tab w:val="left" w:pos="3315"/>
      </w:tabs>
      <w:rPr>
        <w:lang w:val="pl-PL"/>
      </w:rPr>
    </w:pPr>
    <w:r>
      <w:rPr>
        <w:lang w:val="pl-PL" w:eastAsia="pl-PL"/>
      </w:rPr>
      <w:drawing>
        <wp:anchor distT="0" distB="0" distL="114300" distR="114300" simplePos="0" relativeHeight="251660288" behindDoc="1" locked="0" layoutInCell="1" allowOverlap="1" wp14:anchorId="27DB9C74" wp14:editId="2F0DC97C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1105" cy="9029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29E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0DCE" w14:textId="77777777" w:rsidR="008A3D0E" w:rsidRDefault="008A3D0E">
      <w:pPr>
        <w:spacing w:after="0" w:line="240" w:lineRule="auto"/>
      </w:pPr>
      <w:r>
        <w:separator/>
      </w:r>
    </w:p>
  </w:footnote>
  <w:footnote w:type="continuationSeparator" w:id="0">
    <w:p w14:paraId="715BD0A2" w14:textId="77777777" w:rsidR="008A3D0E" w:rsidRDefault="008A3D0E">
      <w:pPr>
        <w:spacing w:after="0" w:line="240" w:lineRule="auto"/>
      </w:pPr>
      <w:r>
        <w:continuationSeparator/>
      </w:r>
    </w:p>
  </w:footnote>
  <w:footnote w:id="1">
    <w:p w14:paraId="6EBBF0EC" w14:textId="77777777" w:rsidR="00EC345B" w:rsidRPr="004D3D11" w:rsidRDefault="00EC345B" w:rsidP="00EC345B">
      <w:pPr>
        <w:pStyle w:val="Tekstprzypisudolnego"/>
        <w:rPr>
          <w:color w:val="0F243E" w:themeColor="text2" w:themeShade="80"/>
          <w:sz w:val="18"/>
          <w:szCs w:val="18"/>
        </w:rPr>
      </w:pPr>
      <w:r w:rsidRPr="004D3D11">
        <w:rPr>
          <w:rStyle w:val="Odwoanieprzypisudolnego"/>
          <w:color w:val="0F243E" w:themeColor="text2" w:themeShade="80"/>
          <w:sz w:val="18"/>
          <w:szCs w:val="18"/>
        </w:rPr>
        <w:footnoteRef/>
      </w:r>
      <w:r w:rsidRPr="004D3D11">
        <w:rPr>
          <w:color w:val="0F243E" w:themeColor="text2" w:themeShade="80"/>
          <w:sz w:val="18"/>
          <w:szCs w:val="18"/>
        </w:rPr>
        <w:t xml:space="preserve"> </w:t>
      </w:r>
      <w:r w:rsidRPr="004D3D11">
        <w:rPr>
          <w:color w:val="0F243E" w:themeColor="text2" w:themeShade="80"/>
          <w:sz w:val="18"/>
          <w:szCs w:val="18"/>
        </w:rPr>
        <w:t xml:space="preserve">IPCC, 2022: </w:t>
      </w:r>
      <w:proofErr w:type="spellStart"/>
      <w:r w:rsidRPr="004D3D11">
        <w:rPr>
          <w:color w:val="0F243E" w:themeColor="text2" w:themeShade="80"/>
          <w:sz w:val="18"/>
          <w:szCs w:val="18"/>
        </w:rPr>
        <w:t>Climate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 </w:t>
      </w:r>
      <w:proofErr w:type="spellStart"/>
      <w:r w:rsidRPr="004D3D11">
        <w:rPr>
          <w:color w:val="0F243E" w:themeColor="text2" w:themeShade="80"/>
          <w:sz w:val="18"/>
          <w:szCs w:val="18"/>
        </w:rPr>
        <w:t>Change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 2022: </w:t>
      </w:r>
      <w:proofErr w:type="spellStart"/>
      <w:r w:rsidRPr="004D3D11">
        <w:rPr>
          <w:color w:val="0F243E" w:themeColor="text2" w:themeShade="80"/>
          <w:sz w:val="18"/>
          <w:szCs w:val="18"/>
        </w:rPr>
        <w:t>Mitigation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 of </w:t>
      </w:r>
      <w:proofErr w:type="spellStart"/>
      <w:r w:rsidRPr="004D3D11">
        <w:rPr>
          <w:color w:val="0F243E" w:themeColor="text2" w:themeShade="80"/>
          <w:sz w:val="18"/>
          <w:szCs w:val="18"/>
        </w:rPr>
        <w:t>Climate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 </w:t>
      </w:r>
      <w:proofErr w:type="spellStart"/>
      <w:r w:rsidRPr="004D3D11">
        <w:rPr>
          <w:color w:val="0F243E" w:themeColor="text2" w:themeShade="80"/>
          <w:sz w:val="18"/>
          <w:szCs w:val="18"/>
        </w:rPr>
        <w:t>Change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. </w:t>
      </w:r>
      <w:proofErr w:type="spellStart"/>
      <w:r w:rsidRPr="004D3D11">
        <w:rPr>
          <w:color w:val="0F243E" w:themeColor="text2" w:themeShade="80"/>
          <w:sz w:val="18"/>
          <w:szCs w:val="18"/>
        </w:rPr>
        <w:t>Contribution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 of </w:t>
      </w:r>
      <w:proofErr w:type="spellStart"/>
      <w:r w:rsidRPr="004D3D11">
        <w:rPr>
          <w:color w:val="0F243E" w:themeColor="text2" w:themeShade="80"/>
          <w:sz w:val="18"/>
          <w:szCs w:val="18"/>
        </w:rPr>
        <w:t>Working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 </w:t>
      </w:r>
      <w:proofErr w:type="spellStart"/>
      <w:r w:rsidRPr="004D3D11">
        <w:rPr>
          <w:color w:val="0F243E" w:themeColor="text2" w:themeShade="80"/>
          <w:sz w:val="18"/>
          <w:szCs w:val="18"/>
        </w:rPr>
        <w:t>Group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 III to the </w:t>
      </w:r>
      <w:proofErr w:type="spellStart"/>
      <w:r w:rsidRPr="004D3D11">
        <w:rPr>
          <w:color w:val="0F243E" w:themeColor="text2" w:themeShade="80"/>
          <w:sz w:val="18"/>
          <w:szCs w:val="18"/>
        </w:rPr>
        <w:t>Sixth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 </w:t>
      </w:r>
      <w:proofErr w:type="spellStart"/>
      <w:r w:rsidRPr="004D3D11">
        <w:rPr>
          <w:color w:val="0F243E" w:themeColor="text2" w:themeShade="80"/>
          <w:sz w:val="18"/>
          <w:szCs w:val="18"/>
        </w:rPr>
        <w:t>Assessment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 Report of the </w:t>
      </w:r>
      <w:proofErr w:type="spellStart"/>
      <w:r w:rsidRPr="004D3D11">
        <w:rPr>
          <w:color w:val="0F243E" w:themeColor="text2" w:themeShade="80"/>
          <w:sz w:val="18"/>
          <w:szCs w:val="18"/>
        </w:rPr>
        <w:t>Intergovernmental</w:t>
      </w:r>
      <w:proofErr w:type="spellEnd"/>
    </w:p>
    <w:p w14:paraId="59D07786" w14:textId="3B1673CA" w:rsidR="00EC345B" w:rsidRPr="004D3D11" w:rsidRDefault="00EC345B" w:rsidP="00EC345B">
      <w:pPr>
        <w:pStyle w:val="Tekstprzypisudolnego"/>
        <w:rPr>
          <w:color w:val="0F243E" w:themeColor="text2" w:themeShade="80"/>
          <w:sz w:val="18"/>
          <w:szCs w:val="18"/>
        </w:rPr>
      </w:pPr>
      <w:r w:rsidRPr="004D3D11">
        <w:rPr>
          <w:color w:val="0F243E" w:themeColor="text2" w:themeShade="80"/>
          <w:sz w:val="18"/>
          <w:szCs w:val="18"/>
        </w:rPr>
        <w:t xml:space="preserve">Panel on </w:t>
      </w:r>
      <w:proofErr w:type="spellStart"/>
      <w:r w:rsidRPr="004D3D11">
        <w:rPr>
          <w:color w:val="0F243E" w:themeColor="text2" w:themeShade="80"/>
          <w:sz w:val="18"/>
          <w:szCs w:val="18"/>
        </w:rPr>
        <w:t>Climate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 </w:t>
      </w:r>
      <w:proofErr w:type="spellStart"/>
      <w:r w:rsidRPr="004D3D11">
        <w:rPr>
          <w:color w:val="0F243E" w:themeColor="text2" w:themeShade="80"/>
          <w:sz w:val="18"/>
          <w:szCs w:val="18"/>
        </w:rPr>
        <w:t>Change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 [P.R. </w:t>
      </w:r>
      <w:proofErr w:type="spellStart"/>
      <w:r w:rsidRPr="004D3D11">
        <w:rPr>
          <w:color w:val="0F243E" w:themeColor="text2" w:themeShade="80"/>
          <w:sz w:val="18"/>
          <w:szCs w:val="18"/>
        </w:rPr>
        <w:t>Shukla</w:t>
      </w:r>
      <w:proofErr w:type="spellEnd"/>
      <w:r w:rsidRPr="004D3D11">
        <w:rPr>
          <w:color w:val="0F243E" w:themeColor="text2" w:themeShade="80"/>
          <w:sz w:val="18"/>
          <w:szCs w:val="18"/>
        </w:rPr>
        <w:t xml:space="preserve">, J. </w:t>
      </w:r>
      <w:proofErr w:type="spellStart"/>
      <w:r w:rsidRPr="004D3D11">
        <w:rPr>
          <w:color w:val="0F243E" w:themeColor="text2" w:themeShade="80"/>
          <w:sz w:val="18"/>
          <w:szCs w:val="18"/>
        </w:rPr>
        <w:t>Skea</w:t>
      </w:r>
      <w:proofErr w:type="spellEnd"/>
      <w:r w:rsidRPr="004D3D11">
        <w:rPr>
          <w:color w:val="0F243E" w:themeColor="text2" w:themeShade="80"/>
          <w:sz w:val="18"/>
          <w:szCs w:val="18"/>
        </w:rPr>
        <w:t>, et al. (</w:t>
      </w:r>
      <w:proofErr w:type="spellStart"/>
      <w:r w:rsidRPr="004D3D11">
        <w:rPr>
          <w:color w:val="0F243E" w:themeColor="text2" w:themeShade="80"/>
          <w:sz w:val="18"/>
          <w:szCs w:val="18"/>
        </w:rPr>
        <w:t>eds</w:t>
      </w:r>
      <w:proofErr w:type="spellEnd"/>
      <w:r w:rsidRPr="004D3D11">
        <w:rPr>
          <w:color w:val="0F243E" w:themeColor="text2" w:themeShade="80"/>
          <w:sz w:val="18"/>
          <w:szCs w:val="18"/>
        </w:rPr>
        <w:t>.)]. Cambridge University Press, Cambridge, UK and New York, NY, USA</w:t>
      </w:r>
    </w:p>
  </w:footnote>
  <w:footnote w:id="2">
    <w:p w14:paraId="3D2D5EEC" w14:textId="2A847597" w:rsidR="00CB7AF1" w:rsidRPr="004D3D11" w:rsidRDefault="00CB7AF1">
      <w:pPr>
        <w:pStyle w:val="Tekstprzypisudolnego"/>
        <w:rPr>
          <w:color w:val="0F243E" w:themeColor="text2" w:themeShade="80"/>
          <w:sz w:val="18"/>
          <w:szCs w:val="18"/>
        </w:rPr>
      </w:pPr>
      <w:r w:rsidRPr="004D3D11">
        <w:rPr>
          <w:rStyle w:val="Odwoanieprzypisudolnego"/>
          <w:color w:val="0F243E" w:themeColor="text2" w:themeShade="80"/>
          <w:sz w:val="18"/>
          <w:szCs w:val="18"/>
        </w:rPr>
        <w:footnoteRef/>
      </w:r>
      <w:r w:rsidRPr="004D3D11">
        <w:rPr>
          <w:color w:val="0F243E" w:themeColor="text2" w:themeShade="80"/>
          <w:sz w:val="18"/>
          <w:szCs w:val="18"/>
        </w:rPr>
        <w:t xml:space="preserve"> https://climatecake.ios.edu.pl/wp-content/uploads/2022/05/CAKE_JustTransition_working-paper_April-2022-1.pdf (dostęp: 10.11.2022)</w:t>
      </w:r>
    </w:p>
  </w:footnote>
  <w:footnote w:id="3">
    <w:p w14:paraId="4DBBE462" w14:textId="04625269" w:rsidR="004809C9" w:rsidRPr="004D3D11" w:rsidRDefault="004809C9" w:rsidP="004809C9">
      <w:pPr>
        <w:pStyle w:val="Tekstprzypisudolnego"/>
        <w:rPr>
          <w:color w:val="0F243E" w:themeColor="text2" w:themeShade="80"/>
          <w:sz w:val="18"/>
          <w:szCs w:val="18"/>
        </w:rPr>
      </w:pPr>
      <w:r w:rsidRPr="004D3D11">
        <w:rPr>
          <w:rStyle w:val="Odwoanieprzypisudolnego"/>
          <w:color w:val="0F243E" w:themeColor="text2" w:themeShade="80"/>
          <w:sz w:val="18"/>
          <w:szCs w:val="18"/>
        </w:rPr>
        <w:footnoteRef/>
      </w:r>
      <w:r w:rsidRPr="004D3D11">
        <w:rPr>
          <w:color w:val="0F243E" w:themeColor="text2" w:themeShade="80"/>
          <w:sz w:val="18"/>
          <w:szCs w:val="18"/>
        </w:rPr>
        <w:t xml:space="preserve"> </w:t>
      </w:r>
      <w:r w:rsidRPr="004D3D11">
        <w:rPr>
          <w:color w:val="0F243E" w:themeColor="text2" w:themeShade="80"/>
          <w:sz w:val="18"/>
          <w:szCs w:val="18"/>
        </w:rPr>
        <w:t>Rozporządzenie Parlamentu Europejskiego i Rady (UE) 2021/1056 z dnia 24 czerwca 2021 r. ustanawiające Fundusz na rzecz Sprawiedliwej Transformacji.</w:t>
      </w:r>
      <w:r w:rsidRPr="004D3D11">
        <w:rPr>
          <w:color w:val="0F243E" w:themeColor="text2" w:themeShade="80"/>
          <w:sz w:val="18"/>
          <w:szCs w:val="18"/>
        </w:rPr>
        <w:t xml:space="preserve"> </w:t>
      </w:r>
      <w:r w:rsidRPr="004D3D11">
        <w:rPr>
          <w:color w:val="0F243E" w:themeColor="text2" w:themeShade="80"/>
          <w:sz w:val="18"/>
          <w:szCs w:val="18"/>
        </w:rPr>
        <w:t>(dostęp:10.11.2022 r.)</w:t>
      </w:r>
    </w:p>
  </w:footnote>
  <w:footnote w:id="4">
    <w:p w14:paraId="14AA2879" w14:textId="37B7F33A" w:rsidR="004809C9" w:rsidRPr="004D3D11" w:rsidRDefault="004809C9">
      <w:pPr>
        <w:pStyle w:val="Tekstprzypisudolnego"/>
        <w:rPr>
          <w:color w:val="0F243E" w:themeColor="text2" w:themeShade="80"/>
          <w:sz w:val="18"/>
          <w:szCs w:val="18"/>
        </w:rPr>
      </w:pPr>
      <w:r w:rsidRPr="004D3D11">
        <w:rPr>
          <w:rStyle w:val="Odwoanieprzypisudolnego"/>
          <w:color w:val="0F243E" w:themeColor="text2" w:themeShade="80"/>
          <w:sz w:val="18"/>
          <w:szCs w:val="18"/>
        </w:rPr>
        <w:footnoteRef/>
      </w:r>
      <w:r w:rsidRPr="004D3D11">
        <w:rPr>
          <w:color w:val="0F243E" w:themeColor="text2" w:themeShade="80"/>
          <w:sz w:val="18"/>
          <w:szCs w:val="18"/>
        </w:rPr>
        <w:t xml:space="preserve"> </w:t>
      </w:r>
      <w:r w:rsidRPr="004D3D11">
        <w:rPr>
          <w:color w:val="0F243E" w:themeColor="text2" w:themeShade="80"/>
          <w:sz w:val="18"/>
          <w:szCs w:val="18"/>
        </w:rPr>
        <w:t>Zob. art. 5 ust.2 rozporządzenia Parlamentu Europejskiego i Rady (UE) 2021/1060 z dnia 24 czerwca 2021 r</w:t>
      </w:r>
    </w:p>
  </w:footnote>
  <w:footnote w:id="5">
    <w:p w14:paraId="5246581D" w14:textId="6D1DD7C5" w:rsidR="004809C9" w:rsidRPr="004D3D11" w:rsidRDefault="004809C9" w:rsidP="004809C9">
      <w:pPr>
        <w:pStyle w:val="Tekstprzypisudolnego"/>
        <w:rPr>
          <w:color w:val="0F243E" w:themeColor="text2" w:themeShade="80"/>
          <w:sz w:val="18"/>
          <w:szCs w:val="18"/>
        </w:rPr>
      </w:pPr>
      <w:r w:rsidRPr="004D3D11">
        <w:rPr>
          <w:rStyle w:val="Odwoanieprzypisudolnego"/>
          <w:color w:val="0F243E" w:themeColor="text2" w:themeShade="80"/>
          <w:sz w:val="18"/>
          <w:szCs w:val="18"/>
        </w:rPr>
        <w:footnoteRef/>
      </w:r>
      <w:r w:rsidRPr="004D3D11">
        <w:rPr>
          <w:color w:val="0F243E" w:themeColor="text2" w:themeShade="80"/>
          <w:sz w:val="18"/>
          <w:szCs w:val="18"/>
        </w:rPr>
        <w:t xml:space="preserve"> </w:t>
      </w:r>
      <w:r w:rsidRPr="004D3D11">
        <w:rPr>
          <w:color w:val="0F243E" w:themeColor="text2" w:themeShade="80"/>
          <w:sz w:val="18"/>
          <w:szCs w:val="18"/>
        </w:rPr>
        <w:t xml:space="preserve">Rozporządzenie Parlamentu Europejskiego i Rady (UE) 2021/241 z dnia </w:t>
      </w:r>
      <w:r w:rsidRPr="004D3D11">
        <w:rPr>
          <w:color w:val="0F243E" w:themeColor="text2" w:themeShade="80"/>
          <w:sz w:val="18"/>
          <w:szCs w:val="18"/>
        </w:rPr>
        <w:t xml:space="preserve">12 lutego 2021 r. ustanawiające </w:t>
      </w:r>
      <w:r w:rsidRPr="004D3D11">
        <w:rPr>
          <w:color w:val="0F243E" w:themeColor="text2" w:themeShade="80"/>
          <w:sz w:val="18"/>
          <w:szCs w:val="18"/>
        </w:rPr>
        <w:t>Instrument na rzecz Odbudowy i Zwiększania</w:t>
      </w:r>
      <w:r w:rsidRPr="004D3D11">
        <w:rPr>
          <w:color w:val="0F243E" w:themeColor="text2" w:themeShade="80"/>
          <w:sz w:val="18"/>
          <w:szCs w:val="18"/>
        </w:rPr>
        <w:t xml:space="preserve"> </w:t>
      </w:r>
      <w:r w:rsidRPr="004D3D11">
        <w:rPr>
          <w:color w:val="0F243E" w:themeColor="text2" w:themeShade="80"/>
          <w:sz w:val="18"/>
          <w:szCs w:val="18"/>
        </w:rPr>
        <w:t>Odporności. (dostęp:10.11.2022 r.)</w:t>
      </w:r>
    </w:p>
  </w:footnote>
  <w:footnote w:id="6">
    <w:p w14:paraId="6FF3B7BD" w14:textId="10670ED3" w:rsidR="004809C9" w:rsidRPr="004D3D11" w:rsidRDefault="004809C9" w:rsidP="004809C9">
      <w:pPr>
        <w:pStyle w:val="Tekstprzypisudolnego"/>
        <w:rPr>
          <w:color w:val="0F243E" w:themeColor="text2" w:themeShade="80"/>
          <w:sz w:val="18"/>
          <w:szCs w:val="18"/>
        </w:rPr>
      </w:pPr>
      <w:r w:rsidRPr="004D3D11">
        <w:rPr>
          <w:rStyle w:val="Odwoanieprzypisudolnego"/>
          <w:color w:val="0F243E" w:themeColor="text2" w:themeShade="80"/>
          <w:sz w:val="18"/>
          <w:szCs w:val="18"/>
        </w:rPr>
        <w:footnoteRef/>
      </w:r>
      <w:r w:rsidRPr="004D3D11">
        <w:rPr>
          <w:color w:val="0F243E" w:themeColor="text2" w:themeShade="80"/>
          <w:sz w:val="18"/>
          <w:szCs w:val="18"/>
        </w:rPr>
        <w:t xml:space="preserve"> </w:t>
      </w:r>
      <w:r w:rsidRPr="004D3D11">
        <w:rPr>
          <w:color w:val="0F243E" w:themeColor="text2" w:themeShade="80"/>
          <w:sz w:val="18"/>
          <w:szCs w:val="18"/>
        </w:rPr>
        <w:t>Abstrahując od sporu między z Komisją Europejską, w tym miejscu zakładamy, że Polska otrzyma przewidziane środki, także w części pochodzącej</w:t>
      </w:r>
      <w:r w:rsidRPr="004D3D11">
        <w:rPr>
          <w:color w:val="0F243E" w:themeColor="text2" w:themeShade="80"/>
          <w:sz w:val="18"/>
          <w:szCs w:val="18"/>
        </w:rPr>
        <w:t xml:space="preserve"> </w:t>
      </w:r>
      <w:r w:rsidRPr="004D3D11">
        <w:rPr>
          <w:color w:val="0F243E" w:themeColor="text2" w:themeShade="80"/>
          <w:sz w:val="18"/>
          <w:szCs w:val="18"/>
        </w:rPr>
        <w:t>z Instrumentu UE na rzecz Odbudowy.</w:t>
      </w:r>
    </w:p>
  </w:footnote>
  <w:footnote w:id="7">
    <w:p w14:paraId="049C57D9" w14:textId="2421F743" w:rsidR="004D3D11" w:rsidRPr="004D3D11" w:rsidRDefault="004D3D11">
      <w:pPr>
        <w:pStyle w:val="Tekstprzypisudolnego"/>
        <w:rPr>
          <w:color w:val="0F243E" w:themeColor="text2" w:themeShade="80"/>
          <w:sz w:val="18"/>
          <w:szCs w:val="18"/>
        </w:rPr>
      </w:pPr>
      <w:r w:rsidRPr="004D3D11">
        <w:rPr>
          <w:rStyle w:val="Odwoanieprzypisudolnego"/>
          <w:color w:val="0F243E" w:themeColor="text2" w:themeShade="80"/>
          <w:sz w:val="18"/>
          <w:szCs w:val="18"/>
        </w:rPr>
        <w:footnoteRef/>
      </w:r>
      <w:r w:rsidRPr="004D3D11">
        <w:rPr>
          <w:color w:val="0F243E" w:themeColor="text2" w:themeShade="80"/>
          <w:sz w:val="18"/>
          <w:szCs w:val="18"/>
        </w:rPr>
        <w:t xml:space="preserve"> </w:t>
      </w:r>
    </w:p>
  </w:footnote>
  <w:footnote w:id="8">
    <w:p w14:paraId="0E292CDF" w14:textId="72D23297" w:rsidR="004D3D11" w:rsidRPr="004D3D11" w:rsidRDefault="004D3D11" w:rsidP="004D3D11">
      <w:pPr>
        <w:pStyle w:val="Tekstprzypisudolnego"/>
        <w:rPr>
          <w:color w:val="0F243E" w:themeColor="text2" w:themeShade="80"/>
          <w:sz w:val="18"/>
          <w:szCs w:val="18"/>
        </w:rPr>
      </w:pPr>
      <w:r w:rsidRPr="004D3D11">
        <w:rPr>
          <w:rStyle w:val="Odwoanieprzypisudolnego"/>
          <w:color w:val="0F243E" w:themeColor="text2" w:themeShade="80"/>
          <w:sz w:val="18"/>
          <w:szCs w:val="18"/>
        </w:rPr>
        <w:footnoteRef/>
      </w:r>
      <w:r w:rsidRPr="004D3D11">
        <w:rPr>
          <w:color w:val="0F243E" w:themeColor="text2" w:themeShade="80"/>
          <w:sz w:val="18"/>
          <w:szCs w:val="18"/>
        </w:rPr>
        <w:t xml:space="preserve"> </w:t>
      </w:r>
      <w:r w:rsidRPr="004D3D11">
        <w:rPr>
          <w:color w:val="0F243E" w:themeColor="text2" w:themeShade="80"/>
          <w:sz w:val="18"/>
          <w:szCs w:val="18"/>
        </w:rPr>
        <w:t xml:space="preserve">Zob. komunikat KE „Plan inwestycyjny na rzecz zrównoważonej Europy. Plan inwestycyjny na rzecz Europejskiego Zielonego Ładu”. COM(2020) 21 </w:t>
      </w:r>
      <w:proofErr w:type="spellStart"/>
      <w:r w:rsidRPr="004D3D11">
        <w:rPr>
          <w:color w:val="0F243E" w:themeColor="text2" w:themeShade="80"/>
          <w:sz w:val="18"/>
          <w:szCs w:val="18"/>
        </w:rPr>
        <w:t>final</w:t>
      </w:r>
      <w:proofErr w:type="spellEnd"/>
      <w:r w:rsidRPr="004D3D11">
        <w:rPr>
          <w:color w:val="0F243E" w:themeColor="text2" w:themeShade="80"/>
          <w:sz w:val="18"/>
          <w:szCs w:val="18"/>
        </w:rPr>
        <w:t>. (dostęp:</w:t>
      </w:r>
      <w:r w:rsidRPr="004D3D11">
        <w:rPr>
          <w:color w:val="0F243E" w:themeColor="text2" w:themeShade="80"/>
          <w:sz w:val="18"/>
          <w:szCs w:val="18"/>
        </w:rPr>
        <w:t xml:space="preserve"> </w:t>
      </w:r>
      <w:r w:rsidRPr="004D3D11">
        <w:rPr>
          <w:color w:val="0F243E" w:themeColor="text2" w:themeShade="80"/>
          <w:sz w:val="18"/>
          <w:szCs w:val="18"/>
        </w:rPr>
        <w:t>10.11.2022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D8BB" w14:textId="667992BD" w:rsidR="00CE229E" w:rsidRDefault="00CE229E">
    <w:pPr>
      <w:pStyle w:val="Nagwek"/>
    </w:pPr>
    <w:r w:rsidRPr="00CE229E">
      <w:rPr>
        <w:rFonts w:cs="Times New Roman (Body CS)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0FF3B85" wp14:editId="3F74DBD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275" cy="1257300"/>
          <wp:effectExtent l="0" t="0" r="9525" b="0"/>
          <wp:wrapNone/>
          <wp:docPr id="4" name="Obraz 4" descr="C:\Users\katarzyna.pasikowska\Downloads\STOPKA_papier_firmowy_kolor_RGB_STOPKA IOŚ_ skró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pasikowska\Downloads\STOPKA_papier_firmowy_kolor_RGB_STOPKA IOŚ_ skró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A4A"/>
    <w:multiLevelType w:val="hybridMultilevel"/>
    <w:tmpl w:val="76529316"/>
    <w:lvl w:ilvl="0" w:tplc="36024E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D7A58"/>
    <w:multiLevelType w:val="hybridMultilevel"/>
    <w:tmpl w:val="8ABCC924"/>
    <w:lvl w:ilvl="0" w:tplc="A1B644C4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A1FF8"/>
    <w:multiLevelType w:val="hybridMultilevel"/>
    <w:tmpl w:val="1058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MzQ1NLQwMTM3NTRV0lEKTi0uzszPAykwqwUAKpi5BiwAAAA="/>
  </w:docVars>
  <w:rsids>
    <w:rsidRoot w:val="00D92ED2"/>
    <w:rsid w:val="00037564"/>
    <w:rsid w:val="000F7202"/>
    <w:rsid w:val="00117F8F"/>
    <w:rsid w:val="001230DA"/>
    <w:rsid w:val="001E4B7E"/>
    <w:rsid w:val="001F4064"/>
    <w:rsid w:val="00200F17"/>
    <w:rsid w:val="0023267E"/>
    <w:rsid w:val="00313C30"/>
    <w:rsid w:val="00343406"/>
    <w:rsid w:val="003C4FA4"/>
    <w:rsid w:val="004671F1"/>
    <w:rsid w:val="004809C9"/>
    <w:rsid w:val="004A4FC5"/>
    <w:rsid w:val="004D3D11"/>
    <w:rsid w:val="00510076"/>
    <w:rsid w:val="005152D1"/>
    <w:rsid w:val="0056010A"/>
    <w:rsid w:val="00574878"/>
    <w:rsid w:val="00593972"/>
    <w:rsid w:val="005F651F"/>
    <w:rsid w:val="00614017"/>
    <w:rsid w:val="00641435"/>
    <w:rsid w:val="006539AD"/>
    <w:rsid w:val="006F1A8E"/>
    <w:rsid w:val="007605DA"/>
    <w:rsid w:val="00776722"/>
    <w:rsid w:val="0078003F"/>
    <w:rsid w:val="007A3661"/>
    <w:rsid w:val="007F204D"/>
    <w:rsid w:val="00807736"/>
    <w:rsid w:val="0085309D"/>
    <w:rsid w:val="008A3D0E"/>
    <w:rsid w:val="009031B9"/>
    <w:rsid w:val="00965189"/>
    <w:rsid w:val="00982FEA"/>
    <w:rsid w:val="00996C15"/>
    <w:rsid w:val="009F2990"/>
    <w:rsid w:val="009F3B6D"/>
    <w:rsid w:val="009F6591"/>
    <w:rsid w:val="00A23A53"/>
    <w:rsid w:val="00A568F2"/>
    <w:rsid w:val="00A80142"/>
    <w:rsid w:val="00AA7506"/>
    <w:rsid w:val="00BB6A1D"/>
    <w:rsid w:val="00BF522C"/>
    <w:rsid w:val="00C42005"/>
    <w:rsid w:val="00CB7AF1"/>
    <w:rsid w:val="00CE229E"/>
    <w:rsid w:val="00D41348"/>
    <w:rsid w:val="00D92ED2"/>
    <w:rsid w:val="00DB4FFB"/>
    <w:rsid w:val="00DF72BC"/>
    <w:rsid w:val="00EC345B"/>
    <w:rsid w:val="00EC712C"/>
    <w:rsid w:val="00F1339E"/>
    <w:rsid w:val="00F20FC6"/>
    <w:rsid w:val="00FC6BF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A673"/>
  <w15:docId w15:val="{62B2B9FF-8EDB-46D9-8634-F6229C7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3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05DA"/>
    <w:pPr>
      <w:spacing w:after="180" w:line="200" w:lineRule="exact"/>
    </w:pPr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7605DA"/>
    <w:rPr>
      <w:rFonts w:asciiTheme="minorHAnsi" w:hAnsiTheme="minorHAnsi" w:cs="Times New Roman"/>
      <w:color w:val="000000" w:themeColor="text1"/>
      <w:sz w:val="15"/>
    </w:rPr>
  </w:style>
  <w:style w:type="paragraph" w:customStyle="1" w:styleId="HeaderTitle">
    <w:name w:val="Header Title"/>
    <w:basedOn w:val="Normalny"/>
    <w:rsid w:val="007605DA"/>
    <w:pPr>
      <w:tabs>
        <w:tab w:val="center" w:pos="4513"/>
        <w:tab w:val="right" w:pos="9026"/>
      </w:tabs>
      <w:spacing w:after="180" w:line="300" w:lineRule="exact"/>
    </w:pPr>
    <w:rPr>
      <w:rFonts w:eastAsia="Times New Roman" w:cs="Times New Roman (Body CS)"/>
      <w:color w:val="000000" w:themeColor="text1"/>
      <w:sz w:val="21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000000" w:themeColor="text1"/>
      <w:sz w:val="21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  <w:rPr>
      <w:rFonts w:eastAsia="Times New Roman" w:cs="Times New Roman"/>
      <w:color w:val="000000" w:themeColor="text1"/>
      <w:sz w:val="21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574878"/>
    <w:rPr>
      <w:b/>
      <w:bCs/>
    </w:rPr>
  </w:style>
  <w:style w:type="paragraph" w:customStyle="1" w:styleId="Normalny1">
    <w:name w:val="Normalny1"/>
    <w:rsid w:val="00200F17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0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50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30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4FA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500E3F-FBD5-44E3-BF3B-048EF008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3738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Pwowa</dc:creator>
  <cp:lastModifiedBy>Pasikowska Katarzyna</cp:lastModifiedBy>
  <cp:revision>8</cp:revision>
  <dcterms:created xsi:type="dcterms:W3CDTF">2023-04-13T14:23:00Z</dcterms:created>
  <dcterms:modified xsi:type="dcterms:W3CDTF">2023-04-20T12:03:00Z</dcterms:modified>
</cp:coreProperties>
</file>