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567C" w14:textId="2939840B" w:rsidR="00A6247A" w:rsidRDefault="00A6247A" w:rsidP="001641BB"/>
    <w:p w14:paraId="1E8B5A36" w14:textId="76E90703" w:rsidR="001641BB" w:rsidRDefault="001641BB" w:rsidP="001641BB">
      <w:r>
        <w:t>Informacja prasowa                                                                                                               Warszawa, maj 2020</w:t>
      </w:r>
    </w:p>
    <w:p w14:paraId="64BF069C" w14:textId="0F6D74F4" w:rsidR="001641BB" w:rsidRDefault="001641BB" w:rsidP="001641BB"/>
    <w:p w14:paraId="752C65CA" w14:textId="106F8BE2" w:rsidR="001641BB" w:rsidRPr="001641BB" w:rsidRDefault="001641BB" w:rsidP="001641BB">
      <w:pPr>
        <w:pStyle w:val="Default"/>
        <w:jc w:val="center"/>
        <w:rPr>
          <w:b/>
          <w:sz w:val="23"/>
          <w:szCs w:val="23"/>
        </w:rPr>
      </w:pPr>
      <w:bookmarkStart w:id="0" w:name="_GoBack"/>
      <w:r w:rsidRPr="001641BB">
        <w:rPr>
          <w:b/>
        </w:rPr>
        <w:t xml:space="preserve">Powołanie </w:t>
      </w:r>
      <w:r w:rsidRPr="001641BB">
        <w:rPr>
          <w:b/>
          <w:sz w:val="23"/>
          <w:szCs w:val="23"/>
        </w:rPr>
        <w:t>Rady ds. Kompetencji w Sektorze Gospodarki Wodno-Ściekowej i Rekultywacji</w:t>
      </w:r>
    </w:p>
    <w:bookmarkEnd w:id="0"/>
    <w:p w14:paraId="225604E4" w14:textId="5906639C" w:rsidR="001641BB" w:rsidRDefault="001641BB" w:rsidP="001641BB">
      <w:pPr>
        <w:pStyle w:val="Default"/>
        <w:jc w:val="center"/>
        <w:rPr>
          <w:b/>
          <w:sz w:val="23"/>
          <w:szCs w:val="23"/>
        </w:rPr>
      </w:pPr>
    </w:p>
    <w:p w14:paraId="5A56BE76" w14:textId="77777777" w:rsidR="001641BB" w:rsidRDefault="001641BB" w:rsidP="001641BB">
      <w:pPr>
        <w:pStyle w:val="Default"/>
      </w:pPr>
    </w:p>
    <w:p w14:paraId="4CD591A1" w14:textId="4954BA44" w:rsidR="001641BB" w:rsidRDefault="001641BB" w:rsidP="001641BB">
      <w:pPr>
        <w:pStyle w:val="Default"/>
        <w:rPr>
          <w:sz w:val="23"/>
          <w:szCs w:val="23"/>
        </w:rPr>
      </w:pPr>
      <w:r>
        <w:t xml:space="preserve"> </w:t>
      </w:r>
      <w:r>
        <w:rPr>
          <w:sz w:val="23"/>
          <w:szCs w:val="23"/>
        </w:rPr>
        <w:t>Ponad 50% Polaków posiada wyższe wykształcenie, mimo tego aż ¾ przedsiębiorców nie może zrekrutować kandydatów o pożądanych kompetencjach. System edukacyjny jest często niedopasowany do potrzeb systemu gospodarczego. Przedsiębiorcy potrzebują odpowiednio wykwalifikowanych pracowników, aby rozwój ich firm był możliwy. Potrzebne na rynku pracy kompetencje zmieniają się wraz z rozwojem technologicznym oraz sposobem zarządzania organizacjami, jak i zmianą pokoleniową. Ważne jest, aby te procesy były stale monitorowane. Taka wiedza jest dostępna poprzez zainicjowane przez PARP badania „Bilans Kapitału Ludzkiego” oraz „Branżowy Bilans Kapitału Ludzkiego”. Nie tylko badania wskazują na obszary, które należy wzmocnić</w:t>
      </w:r>
      <w:r>
        <w:rPr>
          <w:sz w:val="23"/>
          <w:szCs w:val="23"/>
        </w:rPr>
        <w:br/>
        <w:t xml:space="preserve"> i poprawić. To pracodawcy są nieocenionym źródłem wiedzy o tym, co warto zmienić w systemie edukacji, aby ten odpowiadał na aktualne potrzeby rynku pracy. Katalizatorem tych wszystkich działań są Sektorowe Rady ds. Kompetencji, odpowiedzialne za współpracę z pracodawcami i jednostkami naukowymi oraz za wyznaczanie kierunku zmian. </w:t>
      </w:r>
    </w:p>
    <w:p w14:paraId="3840A262" w14:textId="527A8E74" w:rsidR="001641BB" w:rsidRDefault="001641BB" w:rsidP="001641BB">
      <w:pPr>
        <w:pStyle w:val="Default"/>
        <w:rPr>
          <w:sz w:val="23"/>
          <w:szCs w:val="23"/>
        </w:rPr>
      </w:pPr>
      <w:r>
        <w:rPr>
          <w:sz w:val="23"/>
          <w:szCs w:val="23"/>
        </w:rPr>
        <w:t xml:space="preserve">Wychodząc naprzeciw potrzebom </w:t>
      </w:r>
      <w:r>
        <w:rPr>
          <w:b/>
          <w:bCs/>
          <w:sz w:val="23"/>
          <w:szCs w:val="23"/>
        </w:rPr>
        <w:t xml:space="preserve">sektora gospodarki wodno-ściekowej i rekultywacji, </w:t>
      </w:r>
      <w:r>
        <w:rPr>
          <w:sz w:val="23"/>
          <w:szCs w:val="23"/>
        </w:rPr>
        <w:t xml:space="preserve">Instytut Ochrony Środowiska - Państwowy Instytut Badawczy oraz Izba Gospodarcza „Wodociągi Polskie” wystąpiły z inicjatywą powołania Rady ds. Kompetencji w Sektorze Gospodarki Wodno-Ściekowej </w:t>
      </w:r>
      <w:r>
        <w:rPr>
          <w:sz w:val="23"/>
          <w:szCs w:val="23"/>
        </w:rPr>
        <w:br/>
        <w:t xml:space="preserve">i Rekultywacji, która rozpoczęła działalność w lutym 2020 r. Dzięki pracom Rady możliwe będzie lepsze dostosowanie kwalifikacji absolwentów uczelni wyższych i szkół zawodowych oraz uczestników kursów i szkoleń do rzeczywistych potrzeb sektora. </w:t>
      </w:r>
    </w:p>
    <w:p w14:paraId="22A25BBA" w14:textId="77777777" w:rsidR="001641BB" w:rsidRDefault="001641BB" w:rsidP="001641BB">
      <w:pPr>
        <w:pStyle w:val="Default"/>
        <w:rPr>
          <w:sz w:val="23"/>
          <w:szCs w:val="23"/>
        </w:rPr>
      </w:pPr>
      <w:r>
        <w:rPr>
          <w:sz w:val="23"/>
          <w:szCs w:val="23"/>
        </w:rPr>
        <w:t xml:space="preserve">W skład Rady ds. Kompetencji w Sektorze Gospodarki Wodno-Ściekowej i Rekultywacji wchodzą eksperci będący przedstawicielami następujących typów instytucji: </w:t>
      </w:r>
    </w:p>
    <w:p w14:paraId="49A5A50B" w14:textId="4C2BDFCF" w:rsidR="001641BB" w:rsidRPr="001641BB" w:rsidRDefault="001641BB" w:rsidP="001641BB">
      <w:pPr>
        <w:pStyle w:val="Default"/>
        <w:numPr>
          <w:ilvl w:val="0"/>
          <w:numId w:val="22"/>
        </w:numPr>
        <w:spacing w:after="80"/>
        <w:rPr>
          <w:color w:val="auto"/>
          <w:sz w:val="23"/>
          <w:szCs w:val="23"/>
        </w:rPr>
      </w:pPr>
      <w:r w:rsidRPr="001641BB">
        <w:rPr>
          <w:color w:val="auto"/>
          <w:sz w:val="23"/>
          <w:szCs w:val="23"/>
        </w:rPr>
        <w:t xml:space="preserve">przedsiębiorstw działających w sektorze i organizacji branżowych sektora, </w:t>
      </w:r>
    </w:p>
    <w:p w14:paraId="72B972DB" w14:textId="1B38FD98" w:rsidR="001641BB" w:rsidRPr="001641BB" w:rsidRDefault="001641BB" w:rsidP="001641BB">
      <w:pPr>
        <w:pStyle w:val="Default"/>
        <w:numPr>
          <w:ilvl w:val="0"/>
          <w:numId w:val="22"/>
        </w:numPr>
        <w:spacing w:after="80"/>
        <w:rPr>
          <w:color w:val="auto"/>
          <w:sz w:val="23"/>
          <w:szCs w:val="23"/>
        </w:rPr>
      </w:pPr>
      <w:r w:rsidRPr="001641BB">
        <w:rPr>
          <w:color w:val="auto"/>
          <w:sz w:val="23"/>
          <w:szCs w:val="23"/>
        </w:rPr>
        <w:t xml:space="preserve">instytucie edukacji formalnej i </w:t>
      </w:r>
      <w:proofErr w:type="spellStart"/>
      <w:r w:rsidRPr="001641BB">
        <w:rPr>
          <w:color w:val="auto"/>
          <w:sz w:val="23"/>
          <w:szCs w:val="23"/>
        </w:rPr>
        <w:t>pozaformalnej</w:t>
      </w:r>
      <w:proofErr w:type="spellEnd"/>
      <w:r w:rsidRPr="001641BB">
        <w:rPr>
          <w:color w:val="auto"/>
          <w:sz w:val="23"/>
          <w:szCs w:val="23"/>
        </w:rPr>
        <w:t xml:space="preserve">, </w:t>
      </w:r>
    </w:p>
    <w:p w14:paraId="4F782FEC" w14:textId="74657500" w:rsidR="001641BB" w:rsidRPr="001641BB" w:rsidRDefault="001641BB" w:rsidP="001641BB">
      <w:pPr>
        <w:pStyle w:val="Default"/>
        <w:numPr>
          <w:ilvl w:val="0"/>
          <w:numId w:val="22"/>
        </w:numPr>
        <w:spacing w:after="80"/>
        <w:rPr>
          <w:color w:val="auto"/>
          <w:sz w:val="23"/>
          <w:szCs w:val="23"/>
        </w:rPr>
      </w:pPr>
      <w:r w:rsidRPr="001641BB">
        <w:rPr>
          <w:color w:val="auto"/>
          <w:sz w:val="23"/>
          <w:szCs w:val="23"/>
        </w:rPr>
        <w:t xml:space="preserve">instytucji pełniących rolę regulatora lub nadzoru dla sektora, </w:t>
      </w:r>
    </w:p>
    <w:p w14:paraId="50D34E05" w14:textId="6D0CC7E0" w:rsidR="001641BB" w:rsidRPr="001641BB" w:rsidRDefault="001641BB" w:rsidP="001641BB">
      <w:pPr>
        <w:pStyle w:val="Default"/>
        <w:numPr>
          <w:ilvl w:val="0"/>
          <w:numId w:val="22"/>
        </w:numPr>
        <w:spacing w:after="80"/>
        <w:rPr>
          <w:color w:val="auto"/>
          <w:sz w:val="23"/>
          <w:szCs w:val="23"/>
        </w:rPr>
      </w:pPr>
      <w:r w:rsidRPr="001641BB">
        <w:rPr>
          <w:color w:val="auto"/>
          <w:sz w:val="23"/>
          <w:szCs w:val="23"/>
        </w:rPr>
        <w:t xml:space="preserve">Rady Rynku Pracy, </w:t>
      </w:r>
    </w:p>
    <w:p w14:paraId="5F4D2485" w14:textId="77777777" w:rsidR="001641BB" w:rsidRPr="001641BB" w:rsidRDefault="001641BB" w:rsidP="001641BB">
      <w:pPr>
        <w:pStyle w:val="Default"/>
        <w:numPr>
          <w:ilvl w:val="0"/>
          <w:numId w:val="22"/>
        </w:numPr>
        <w:spacing w:after="80"/>
        <w:rPr>
          <w:color w:val="auto"/>
          <w:sz w:val="23"/>
          <w:szCs w:val="23"/>
        </w:rPr>
      </w:pPr>
      <w:r w:rsidRPr="001641BB">
        <w:rPr>
          <w:color w:val="auto"/>
          <w:sz w:val="23"/>
          <w:szCs w:val="23"/>
        </w:rPr>
        <w:t xml:space="preserve">związków zawodowych zrzeszające pracowników sektora, </w:t>
      </w:r>
    </w:p>
    <w:p w14:paraId="1D1CA844" w14:textId="78324C4B" w:rsidR="001641BB" w:rsidRPr="001641BB" w:rsidRDefault="001641BB" w:rsidP="001641BB">
      <w:pPr>
        <w:pStyle w:val="Default"/>
        <w:numPr>
          <w:ilvl w:val="0"/>
          <w:numId w:val="22"/>
        </w:numPr>
        <w:spacing w:after="80"/>
        <w:rPr>
          <w:color w:val="auto"/>
          <w:sz w:val="23"/>
          <w:szCs w:val="23"/>
        </w:rPr>
      </w:pPr>
      <w:r w:rsidRPr="001641BB">
        <w:rPr>
          <w:color w:val="auto"/>
          <w:sz w:val="23"/>
          <w:szCs w:val="23"/>
        </w:rPr>
        <w:t xml:space="preserve">innych podmiotów ważnych z punktu widzenia działalności Rady – instytucje naukowe, odbiorcy usług i organizacje działające na rzecz os. zagrożonych wykluczeniem społecznym. </w:t>
      </w:r>
    </w:p>
    <w:p w14:paraId="6F6FF1CC" w14:textId="77777777" w:rsidR="001641BB" w:rsidRDefault="001641BB" w:rsidP="001641BB">
      <w:pPr>
        <w:pStyle w:val="Default"/>
        <w:rPr>
          <w:sz w:val="23"/>
          <w:szCs w:val="23"/>
        </w:rPr>
      </w:pPr>
    </w:p>
    <w:p w14:paraId="349C08AF" w14:textId="77777777" w:rsidR="001641BB" w:rsidRDefault="001641BB" w:rsidP="001641BB">
      <w:pPr>
        <w:pStyle w:val="Default"/>
        <w:rPr>
          <w:sz w:val="23"/>
          <w:szCs w:val="23"/>
        </w:rPr>
      </w:pPr>
      <w:r>
        <w:rPr>
          <w:sz w:val="23"/>
          <w:szCs w:val="23"/>
        </w:rPr>
        <w:t xml:space="preserve">Poniżej przedstawiamy korzyści z funkcjonowania Rady ds. Kompetencji w Sektorze Gospodarki Wodno-Ściekowej i Rekultywacji dla wszystkich interesariuszy sektora: </w:t>
      </w:r>
    </w:p>
    <w:p w14:paraId="6105F8DD" w14:textId="2ABDDD19" w:rsidR="001641BB" w:rsidRPr="001641BB" w:rsidRDefault="001641BB" w:rsidP="001641BB">
      <w:pPr>
        <w:pStyle w:val="Default"/>
        <w:numPr>
          <w:ilvl w:val="0"/>
          <w:numId w:val="23"/>
        </w:numPr>
        <w:spacing w:after="80"/>
        <w:rPr>
          <w:color w:val="auto"/>
          <w:sz w:val="23"/>
          <w:szCs w:val="23"/>
        </w:rPr>
      </w:pPr>
      <w:r w:rsidRPr="001641BB">
        <w:rPr>
          <w:color w:val="auto"/>
          <w:sz w:val="23"/>
          <w:szCs w:val="23"/>
        </w:rPr>
        <w:t xml:space="preserve">rzetelne zbadanie i ocena potrzeb sektora w zakresie kompetencji/kwalifikacji pracowników, </w:t>
      </w:r>
    </w:p>
    <w:p w14:paraId="0EB80C68" w14:textId="77777777" w:rsidR="001641BB" w:rsidRDefault="001641BB" w:rsidP="001641BB">
      <w:pPr>
        <w:pStyle w:val="Default"/>
        <w:numPr>
          <w:ilvl w:val="0"/>
          <w:numId w:val="23"/>
        </w:numPr>
        <w:spacing w:after="80"/>
        <w:rPr>
          <w:sz w:val="23"/>
          <w:szCs w:val="23"/>
        </w:rPr>
      </w:pPr>
      <w:r>
        <w:rPr>
          <w:sz w:val="23"/>
          <w:szCs w:val="23"/>
        </w:rPr>
        <w:t xml:space="preserve">lepsze dostosowanie kompetencji pracowników do potrzeb pracodawców sektora, </w:t>
      </w:r>
    </w:p>
    <w:p w14:paraId="6EE024D1" w14:textId="0962D43B" w:rsidR="001641BB" w:rsidRDefault="001641BB" w:rsidP="001641BB">
      <w:pPr>
        <w:pStyle w:val="Default"/>
        <w:numPr>
          <w:ilvl w:val="0"/>
          <w:numId w:val="23"/>
        </w:numPr>
        <w:spacing w:after="80"/>
        <w:rPr>
          <w:sz w:val="23"/>
          <w:szCs w:val="23"/>
        </w:rPr>
      </w:pPr>
      <w:r>
        <w:rPr>
          <w:sz w:val="23"/>
          <w:szCs w:val="23"/>
        </w:rPr>
        <w:t xml:space="preserve">przewidujące rozpoznanie potrzeb sektora w zakresie zapotrzebowania na kompetencje dostosowane do zmieniającej się legislacji, </w:t>
      </w:r>
    </w:p>
    <w:p w14:paraId="6F419BD7" w14:textId="77777777" w:rsidR="001641BB" w:rsidRDefault="001641BB" w:rsidP="001641BB">
      <w:pPr>
        <w:pStyle w:val="Default"/>
        <w:rPr>
          <w:color w:val="auto"/>
        </w:rPr>
      </w:pPr>
    </w:p>
    <w:p w14:paraId="43046B0F" w14:textId="77777777" w:rsidR="001641BB" w:rsidRDefault="001641BB" w:rsidP="001641BB">
      <w:pPr>
        <w:pStyle w:val="Default"/>
        <w:pageBreakBefore/>
        <w:rPr>
          <w:color w:val="auto"/>
        </w:rPr>
      </w:pPr>
    </w:p>
    <w:p w14:paraId="1B8C0448" w14:textId="698862DE" w:rsidR="001641BB" w:rsidRDefault="001641BB" w:rsidP="001641BB">
      <w:pPr>
        <w:pStyle w:val="Default"/>
        <w:numPr>
          <w:ilvl w:val="0"/>
          <w:numId w:val="24"/>
        </w:numPr>
        <w:spacing w:after="82"/>
        <w:rPr>
          <w:sz w:val="23"/>
          <w:szCs w:val="23"/>
        </w:rPr>
      </w:pPr>
      <w:r>
        <w:rPr>
          <w:sz w:val="23"/>
          <w:szCs w:val="23"/>
        </w:rPr>
        <w:t xml:space="preserve">sprawniejsze dostosowywanie systemu kształcenia do zmian w sektorze wynikających </w:t>
      </w:r>
      <w:r>
        <w:rPr>
          <w:sz w:val="23"/>
          <w:szCs w:val="23"/>
        </w:rPr>
        <w:br/>
        <w:t xml:space="preserve">z nowych technologii często opartych na IT, nowych procesów, usług i modeli biznesu, </w:t>
      </w:r>
    </w:p>
    <w:p w14:paraId="658CEBDC" w14:textId="39D3BDEE" w:rsidR="001641BB" w:rsidRDefault="001641BB" w:rsidP="001641BB">
      <w:pPr>
        <w:pStyle w:val="Default"/>
        <w:numPr>
          <w:ilvl w:val="0"/>
          <w:numId w:val="24"/>
        </w:numPr>
        <w:spacing w:after="82"/>
        <w:rPr>
          <w:sz w:val="23"/>
          <w:szCs w:val="23"/>
        </w:rPr>
      </w:pPr>
      <w:r>
        <w:rPr>
          <w:sz w:val="23"/>
          <w:szCs w:val="23"/>
        </w:rPr>
        <w:t xml:space="preserve">określenie niezbędnych zmian w prawie w zakresie dostosowania edukacji do potrzeb rynku pracy, </w:t>
      </w:r>
    </w:p>
    <w:p w14:paraId="6A414F7B" w14:textId="00411659" w:rsidR="001641BB" w:rsidRDefault="001641BB" w:rsidP="001641BB">
      <w:pPr>
        <w:pStyle w:val="Default"/>
        <w:numPr>
          <w:ilvl w:val="0"/>
          <w:numId w:val="24"/>
        </w:numPr>
        <w:spacing w:after="82"/>
        <w:rPr>
          <w:sz w:val="23"/>
          <w:szCs w:val="23"/>
        </w:rPr>
      </w:pPr>
      <w:r>
        <w:rPr>
          <w:sz w:val="23"/>
          <w:szCs w:val="23"/>
        </w:rPr>
        <w:t xml:space="preserve">inicjowanie współpracy pomiędzy przedsiębiorcami i instytucjami edukacyjnymi (porozumienia sektorowe), </w:t>
      </w:r>
    </w:p>
    <w:p w14:paraId="6693057C" w14:textId="64C4F5AA" w:rsidR="001641BB" w:rsidRDefault="001641BB" w:rsidP="001641BB">
      <w:pPr>
        <w:pStyle w:val="Default"/>
        <w:numPr>
          <w:ilvl w:val="0"/>
          <w:numId w:val="24"/>
        </w:numPr>
        <w:spacing w:after="82"/>
        <w:rPr>
          <w:sz w:val="23"/>
          <w:szCs w:val="23"/>
        </w:rPr>
      </w:pPr>
      <w:r>
        <w:rPr>
          <w:sz w:val="23"/>
          <w:szCs w:val="23"/>
        </w:rPr>
        <w:t>wspieranie możliwości lepszego włączenia osób zagrożonych wykluczeniem społecznym</w:t>
      </w:r>
      <w:r>
        <w:rPr>
          <w:sz w:val="23"/>
          <w:szCs w:val="23"/>
        </w:rPr>
        <w:br/>
        <w:t xml:space="preserve"> i rehabilitacji zawodowej osób z niepełnosprawnościami, </w:t>
      </w:r>
    </w:p>
    <w:p w14:paraId="7D2FBCA3" w14:textId="77777777" w:rsidR="001641BB" w:rsidRDefault="001641BB" w:rsidP="001641BB">
      <w:pPr>
        <w:pStyle w:val="Default"/>
        <w:numPr>
          <w:ilvl w:val="0"/>
          <w:numId w:val="24"/>
        </w:numPr>
        <w:spacing w:after="82"/>
        <w:rPr>
          <w:sz w:val="23"/>
          <w:szCs w:val="23"/>
        </w:rPr>
      </w:pPr>
      <w:r>
        <w:rPr>
          <w:sz w:val="23"/>
          <w:szCs w:val="23"/>
        </w:rPr>
        <w:t>propagowanie dobrych praktyk dotyczących edukacji osób 50+ lub o niskich kwalifikacjach</w:t>
      </w:r>
      <w:r>
        <w:rPr>
          <w:sz w:val="23"/>
          <w:szCs w:val="23"/>
        </w:rPr>
        <w:br/>
        <w:t xml:space="preserve"> i w zakresie równości szans kobiet i mężczyzn w sektorze, </w:t>
      </w:r>
    </w:p>
    <w:p w14:paraId="747CFA8A" w14:textId="1182FF4A" w:rsidR="001641BB" w:rsidRDefault="001641BB" w:rsidP="001641BB">
      <w:pPr>
        <w:pStyle w:val="Default"/>
        <w:numPr>
          <w:ilvl w:val="0"/>
          <w:numId w:val="24"/>
        </w:numPr>
        <w:spacing w:after="82"/>
        <w:rPr>
          <w:sz w:val="23"/>
          <w:szCs w:val="23"/>
        </w:rPr>
      </w:pPr>
      <w:r>
        <w:rPr>
          <w:sz w:val="23"/>
          <w:szCs w:val="23"/>
        </w:rPr>
        <w:t xml:space="preserve">propagowanie kompetencji miękkich, niezbędnych do wdrażania gospodarki w obiegu zamkniętym w miastach, </w:t>
      </w:r>
    </w:p>
    <w:p w14:paraId="79A4802F" w14:textId="749F6172" w:rsidR="001641BB" w:rsidRDefault="001641BB" w:rsidP="001641BB">
      <w:pPr>
        <w:pStyle w:val="Default"/>
        <w:numPr>
          <w:ilvl w:val="0"/>
          <w:numId w:val="24"/>
        </w:numPr>
        <w:rPr>
          <w:sz w:val="23"/>
          <w:szCs w:val="23"/>
        </w:rPr>
      </w:pPr>
      <w:r>
        <w:rPr>
          <w:sz w:val="23"/>
          <w:szCs w:val="23"/>
        </w:rPr>
        <w:t>wspieranie uczenia się przez całe życie, elastycznych możliwości poprawy umiejętności</w:t>
      </w:r>
      <w:r>
        <w:rPr>
          <w:sz w:val="23"/>
          <w:szCs w:val="23"/>
        </w:rPr>
        <w:br/>
        <w:t xml:space="preserve"> i zmiany kwalifikacji, z uwzględnieniem umiejętności cyfrowych. </w:t>
      </w:r>
    </w:p>
    <w:p w14:paraId="36D67540" w14:textId="77777777" w:rsidR="001641BB" w:rsidRDefault="001641BB" w:rsidP="001641BB">
      <w:pPr>
        <w:pStyle w:val="Default"/>
        <w:rPr>
          <w:sz w:val="23"/>
          <w:szCs w:val="23"/>
        </w:rPr>
      </w:pPr>
    </w:p>
    <w:p w14:paraId="5C5CDA8F" w14:textId="4376AE6A" w:rsidR="001641BB" w:rsidRDefault="001641BB" w:rsidP="001641BB">
      <w:pPr>
        <w:pStyle w:val="Default"/>
        <w:rPr>
          <w:sz w:val="23"/>
          <w:szCs w:val="23"/>
        </w:rPr>
      </w:pPr>
      <w:r>
        <w:rPr>
          <w:sz w:val="23"/>
          <w:szCs w:val="23"/>
        </w:rPr>
        <w:t xml:space="preserve">Serdecznie zachęcamy do współpracy z Radą, dzielenia się wszelkimi pomysłami, uwagami </w:t>
      </w:r>
      <w:r>
        <w:rPr>
          <w:sz w:val="23"/>
          <w:szCs w:val="23"/>
        </w:rPr>
        <w:br/>
        <w:t xml:space="preserve">i spostrzeżeniami. Państwa udział w inicjatywie będzie miał znaczący wpływ zarówno na rozwój sektora gospodarki wodno-ściekowej i rekultywacji, jak i edukację dla jego potrzeb. </w:t>
      </w:r>
    </w:p>
    <w:p w14:paraId="65284E22" w14:textId="3B0E018F" w:rsidR="001641BB" w:rsidRPr="001641BB" w:rsidRDefault="001641BB" w:rsidP="001641BB">
      <w:pPr>
        <w:pStyle w:val="Default"/>
        <w:rPr>
          <w:b/>
        </w:rPr>
      </w:pPr>
      <w:r>
        <w:rPr>
          <w:sz w:val="23"/>
          <w:szCs w:val="23"/>
        </w:rPr>
        <w:t xml:space="preserve">Więcej informacji na temat działań Rady ds. Kompetencji w Sektorze Gospodarki Wodno-Ściekowej </w:t>
      </w:r>
      <w:r>
        <w:rPr>
          <w:sz w:val="23"/>
          <w:szCs w:val="23"/>
        </w:rPr>
        <w:br/>
        <w:t xml:space="preserve">i Rekultywacji dostępnych jest na stronie projektu: </w:t>
      </w:r>
      <w:r>
        <w:rPr>
          <w:color w:val="0462C1"/>
          <w:sz w:val="23"/>
          <w:szCs w:val="23"/>
        </w:rPr>
        <w:t>https://rada-gws.ios.edu.pl/</w:t>
      </w:r>
      <w:r>
        <w:rPr>
          <w:sz w:val="23"/>
          <w:szCs w:val="23"/>
        </w:rPr>
        <w:t>.</w:t>
      </w:r>
    </w:p>
    <w:sectPr w:rsidR="001641BB" w:rsidRPr="001641BB" w:rsidSect="000C262A">
      <w:headerReference w:type="default" r:id="rId8"/>
      <w:footerReference w:type="default" r:id="rId9"/>
      <w:headerReference w:type="first" r:id="rId10"/>
      <w:footerReference w:type="first" r:id="rId11"/>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D5ED" w14:textId="77777777" w:rsidR="00810006" w:rsidRDefault="00810006" w:rsidP="007D2E22">
      <w:pPr>
        <w:spacing w:after="0" w:line="240" w:lineRule="auto"/>
      </w:pPr>
      <w:r>
        <w:separator/>
      </w:r>
    </w:p>
  </w:endnote>
  <w:endnote w:type="continuationSeparator" w:id="0">
    <w:p w14:paraId="501B3998" w14:textId="77777777" w:rsidR="00810006" w:rsidRDefault="00810006" w:rsidP="007D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B2B8" w14:textId="27F45AF2" w:rsidR="0026162E" w:rsidRDefault="0026162E">
    <w:pPr>
      <w:pStyle w:val="Stopka"/>
    </w:pPr>
    <w:r>
      <w:rPr>
        <w:noProof/>
        <w:lang w:eastAsia="pl-PL"/>
      </w:rPr>
      <w:drawing>
        <wp:anchor distT="0" distB="0" distL="114300" distR="114300" simplePos="0" relativeHeight="251663360" behindDoc="1" locked="0" layoutInCell="1" allowOverlap="1" wp14:anchorId="6451BA19" wp14:editId="39753575">
          <wp:simplePos x="0" y="0"/>
          <wp:positionH relativeFrom="margin">
            <wp:align>center</wp:align>
          </wp:positionH>
          <wp:positionV relativeFrom="paragraph">
            <wp:posOffset>-438785</wp:posOffset>
          </wp:positionV>
          <wp:extent cx="7344347" cy="942911"/>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t="90925"/>
                  <a:stretch/>
                </pic:blipFill>
                <pic:spPr bwMode="auto">
                  <a:xfrm>
                    <a:off x="0" y="0"/>
                    <a:ext cx="7344347" cy="9429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A14E" w14:textId="26D5005B" w:rsidR="00456010" w:rsidRDefault="00456010">
    <w:pPr>
      <w:pStyle w:val="Stopka"/>
    </w:pPr>
    <w:r>
      <w:rPr>
        <w:noProof/>
        <w:lang w:eastAsia="pl-PL"/>
      </w:rPr>
      <w:drawing>
        <wp:anchor distT="0" distB="0" distL="114300" distR="114300" simplePos="0" relativeHeight="251659264" behindDoc="1" locked="0" layoutInCell="1" allowOverlap="1" wp14:anchorId="341A0A33" wp14:editId="4298589A">
          <wp:simplePos x="0" y="0"/>
          <wp:positionH relativeFrom="margin">
            <wp:align>center</wp:align>
          </wp:positionH>
          <wp:positionV relativeFrom="paragraph">
            <wp:posOffset>-438785</wp:posOffset>
          </wp:positionV>
          <wp:extent cx="7344347" cy="942911"/>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t="90925"/>
                  <a:stretch/>
                </pic:blipFill>
                <pic:spPr bwMode="auto">
                  <a:xfrm>
                    <a:off x="0" y="0"/>
                    <a:ext cx="7344347" cy="9429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D00F" w14:textId="77777777" w:rsidR="00810006" w:rsidRDefault="00810006" w:rsidP="007D2E22">
      <w:pPr>
        <w:spacing w:after="0" w:line="240" w:lineRule="auto"/>
      </w:pPr>
      <w:r>
        <w:separator/>
      </w:r>
    </w:p>
  </w:footnote>
  <w:footnote w:type="continuationSeparator" w:id="0">
    <w:p w14:paraId="1A26412E" w14:textId="77777777" w:rsidR="00810006" w:rsidRDefault="00810006" w:rsidP="007D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BE2A" w14:textId="1BE9CF57" w:rsidR="00327F58" w:rsidRPr="00327F58" w:rsidRDefault="0026162E">
    <w:pPr>
      <w:pStyle w:val="Nagwek"/>
      <w:jc w:val="right"/>
      <w:rPr>
        <w:sz w:val="20"/>
        <w:szCs w:val="20"/>
      </w:rPr>
    </w:pPr>
    <w:r>
      <w:rPr>
        <w:noProof/>
        <w:lang w:eastAsia="pl-PL"/>
      </w:rPr>
      <w:drawing>
        <wp:anchor distT="0" distB="0" distL="114300" distR="114300" simplePos="0" relativeHeight="251661312" behindDoc="1" locked="0" layoutInCell="1" allowOverlap="1" wp14:anchorId="73C3EF67" wp14:editId="3F366985">
          <wp:simplePos x="0" y="0"/>
          <wp:positionH relativeFrom="margin">
            <wp:align>center</wp:align>
          </wp:positionH>
          <wp:positionV relativeFrom="paragraph">
            <wp:posOffset>0</wp:posOffset>
          </wp:positionV>
          <wp:extent cx="6958800" cy="867600"/>
          <wp:effectExtent l="0" t="0" r="0" b="889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91182"/>
                  <a:stretch/>
                </pic:blipFill>
                <pic:spPr bwMode="auto">
                  <a:xfrm>
                    <a:off x="0" y="0"/>
                    <a:ext cx="6958800" cy="86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868A" w14:textId="37CE0E5F" w:rsidR="00400F0F" w:rsidRPr="00456010" w:rsidRDefault="00456010" w:rsidP="00456010">
    <w:pPr>
      <w:pStyle w:val="Nagwek"/>
    </w:pPr>
    <w:r>
      <w:rPr>
        <w:noProof/>
        <w:lang w:eastAsia="pl-PL"/>
      </w:rPr>
      <w:drawing>
        <wp:anchor distT="0" distB="0" distL="114300" distR="114300" simplePos="0" relativeHeight="251658240" behindDoc="1" locked="0" layoutInCell="1" allowOverlap="1" wp14:anchorId="09CDFF17" wp14:editId="43843A6B">
          <wp:simplePos x="0" y="0"/>
          <wp:positionH relativeFrom="margin">
            <wp:align>center</wp:align>
          </wp:positionH>
          <wp:positionV relativeFrom="paragraph">
            <wp:posOffset>0</wp:posOffset>
          </wp:positionV>
          <wp:extent cx="6959600" cy="868260"/>
          <wp:effectExtent l="0" t="0" r="0" b="8255"/>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91182"/>
                  <a:stretch/>
                </pic:blipFill>
                <pic:spPr bwMode="auto">
                  <a:xfrm>
                    <a:off x="0" y="0"/>
                    <a:ext cx="6959600" cy="86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35E12"/>
    <w:multiLevelType w:val="hybridMultilevel"/>
    <w:tmpl w:val="EE7848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5C9794"/>
    <w:multiLevelType w:val="hybridMultilevel"/>
    <w:tmpl w:val="F6EBB3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E1ED52"/>
    <w:multiLevelType w:val="hybridMultilevel"/>
    <w:tmpl w:val="22AA6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4"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7" w15:restartNumberingAfterBreak="0">
    <w:nsid w:val="0363282D"/>
    <w:multiLevelType w:val="hybridMultilevel"/>
    <w:tmpl w:val="ACB4EEC4"/>
    <w:lvl w:ilvl="0" w:tplc="04150011">
      <w:start w:val="1"/>
      <w:numFmt w:val="decimal"/>
      <w:lvlText w:val="%1)"/>
      <w:lvlJc w:val="left"/>
      <w:pPr>
        <w:ind w:left="360" w:hanging="360"/>
      </w:pPr>
    </w:lvl>
    <w:lvl w:ilvl="1" w:tplc="809E8DEE">
      <w:start w:val="1"/>
      <w:numFmt w:val="bullet"/>
      <w:lvlText w:val="•"/>
      <w:lvlJc w:val="left"/>
      <w:pPr>
        <w:ind w:left="1080" w:hanging="360"/>
      </w:pPr>
      <w:rPr>
        <w:rFonts w:ascii="Calibri" w:eastAsiaTheme="minorHAns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531F68"/>
    <w:multiLevelType w:val="hybridMultilevel"/>
    <w:tmpl w:val="467EB1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63059C"/>
    <w:multiLevelType w:val="hybridMultilevel"/>
    <w:tmpl w:val="FED619E6"/>
    <w:lvl w:ilvl="0" w:tplc="58D2E000">
      <w:start w:val="1"/>
      <w:numFmt w:val="decimal"/>
      <w:lvlText w:val="%1."/>
      <w:lvlJc w:val="left"/>
      <w:pPr>
        <w:ind w:left="780" w:hanging="420"/>
      </w:pPr>
      <w:rPr>
        <w:rFonts w:hint="default"/>
      </w:rPr>
    </w:lvl>
    <w:lvl w:ilvl="1" w:tplc="086ED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744B8"/>
    <w:multiLevelType w:val="hybridMultilevel"/>
    <w:tmpl w:val="2A1CEFEC"/>
    <w:lvl w:ilvl="0" w:tplc="952884D6">
      <w:start w:val="1"/>
      <w:numFmt w:val="bullet"/>
      <w:lvlText w:val=""/>
      <w:lvlJc w:val="left"/>
      <w:pPr>
        <w:ind w:left="360" w:hanging="360"/>
      </w:pPr>
      <w:rPr>
        <w:rFonts w:ascii="Symbol" w:hAnsi="Symbol" w:hint="default"/>
      </w:rPr>
    </w:lvl>
    <w:lvl w:ilvl="1" w:tplc="952884D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9584123"/>
    <w:multiLevelType w:val="hybridMultilevel"/>
    <w:tmpl w:val="7308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75D94"/>
    <w:multiLevelType w:val="hybridMultilevel"/>
    <w:tmpl w:val="64D6F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EC32EF"/>
    <w:multiLevelType w:val="hybridMultilevel"/>
    <w:tmpl w:val="7AAA3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D7612"/>
    <w:multiLevelType w:val="hybridMultilevel"/>
    <w:tmpl w:val="3320AA68"/>
    <w:lvl w:ilvl="0" w:tplc="2C2E56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50117AD"/>
    <w:multiLevelType w:val="hybridMultilevel"/>
    <w:tmpl w:val="0B344990"/>
    <w:lvl w:ilvl="0" w:tplc="95288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BEC08E3"/>
    <w:multiLevelType w:val="hybridMultilevel"/>
    <w:tmpl w:val="5B809E6E"/>
    <w:lvl w:ilvl="0" w:tplc="95288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2601CB0"/>
    <w:multiLevelType w:val="hybridMultilevel"/>
    <w:tmpl w:val="51CA347E"/>
    <w:lvl w:ilvl="0" w:tplc="5E08C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79277F"/>
    <w:multiLevelType w:val="hybridMultilevel"/>
    <w:tmpl w:val="F9DAC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084E7E"/>
    <w:multiLevelType w:val="hybridMultilevel"/>
    <w:tmpl w:val="1D5222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AD168B"/>
    <w:multiLevelType w:val="hybridMultilevel"/>
    <w:tmpl w:val="F0F6C86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F47016D"/>
    <w:multiLevelType w:val="hybridMultilevel"/>
    <w:tmpl w:val="B4024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9658C3"/>
    <w:multiLevelType w:val="hybridMultilevel"/>
    <w:tmpl w:val="08702066"/>
    <w:lvl w:ilvl="0" w:tplc="95288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7FAA01B8"/>
    <w:multiLevelType w:val="hybridMultilevel"/>
    <w:tmpl w:val="3126E04A"/>
    <w:lvl w:ilvl="0" w:tplc="95288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9"/>
  </w:num>
  <w:num w:numId="6">
    <w:abstractNumId w:val="20"/>
  </w:num>
  <w:num w:numId="7">
    <w:abstractNumId w:val="8"/>
  </w:num>
  <w:num w:numId="8">
    <w:abstractNumId w:val="13"/>
  </w:num>
  <w:num w:numId="9">
    <w:abstractNumId w:val="14"/>
  </w:num>
  <w:num w:numId="10">
    <w:abstractNumId w:val="17"/>
  </w:num>
  <w:num w:numId="11">
    <w:abstractNumId w:val="16"/>
  </w:num>
  <w:num w:numId="12">
    <w:abstractNumId w:val="7"/>
  </w:num>
  <w:num w:numId="13">
    <w:abstractNumId w:val="22"/>
  </w:num>
  <w:num w:numId="14">
    <w:abstractNumId w:val="10"/>
  </w:num>
  <w:num w:numId="15">
    <w:abstractNumId w:val="15"/>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2"/>
  </w:num>
  <w:num w:numId="21">
    <w:abstractNumId w:val="1"/>
  </w:num>
  <w:num w:numId="22">
    <w:abstractNumId w:val="21"/>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22"/>
    <w:rsid w:val="000010D7"/>
    <w:rsid w:val="000558DB"/>
    <w:rsid w:val="000A3514"/>
    <w:rsid w:val="000C1E50"/>
    <w:rsid w:val="000C262A"/>
    <w:rsid w:val="000D67EF"/>
    <w:rsid w:val="000F3640"/>
    <w:rsid w:val="00116997"/>
    <w:rsid w:val="00130B20"/>
    <w:rsid w:val="00150209"/>
    <w:rsid w:val="001641BB"/>
    <w:rsid w:val="001A6786"/>
    <w:rsid w:val="001C65BA"/>
    <w:rsid w:val="002378BD"/>
    <w:rsid w:val="002445F8"/>
    <w:rsid w:val="0026162E"/>
    <w:rsid w:val="002618B3"/>
    <w:rsid w:val="002715AF"/>
    <w:rsid w:val="0027317D"/>
    <w:rsid w:val="0028689A"/>
    <w:rsid w:val="002D4571"/>
    <w:rsid w:val="002E3A2C"/>
    <w:rsid w:val="002F22CD"/>
    <w:rsid w:val="002F521E"/>
    <w:rsid w:val="00305B3C"/>
    <w:rsid w:val="003072E4"/>
    <w:rsid w:val="00307EF4"/>
    <w:rsid w:val="003243F5"/>
    <w:rsid w:val="00327F58"/>
    <w:rsid w:val="003434F8"/>
    <w:rsid w:val="0034774B"/>
    <w:rsid w:val="003D46BA"/>
    <w:rsid w:val="00400F0F"/>
    <w:rsid w:val="00401CAE"/>
    <w:rsid w:val="00411419"/>
    <w:rsid w:val="00456010"/>
    <w:rsid w:val="004629E8"/>
    <w:rsid w:val="004F1B08"/>
    <w:rsid w:val="00531260"/>
    <w:rsid w:val="00532DFC"/>
    <w:rsid w:val="005373CA"/>
    <w:rsid w:val="00576FCE"/>
    <w:rsid w:val="005860F0"/>
    <w:rsid w:val="005E0099"/>
    <w:rsid w:val="00613C0B"/>
    <w:rsid w:val="006305FB"/>
    <w:rsid w:val="006342B0"/>
    <w:rsid w:val="006401DA"/>
    <w:rsid w:val="006615D6"/>
    <w:rsid w:val="00736F96"/>
    <w:rsid w:val="00744FDF"/>
    <w:rsid w:val="00752689"/>
    <w:rsid w:val="007959D9"/>
    <w:rsid w:val="007A019F"/>
    <w:rsid w:val="007B2967"/>
    <w:rsid w:val="007D2E22"/>
    <w:rsid w:val="007D7C71"/>
    <w:rsid w:val="007F22AC"/>
    <w:rsid w:val="007F2C68"/>
    <w:rsid w:val="00810006"/>
    <w:rsid w:val="008132D1"/>
    <w:rsid w:val="00816A7C"/>
    <w:rsid w:val="00833873"/>
    <w:rsid w:val="008468AC"/>
    <w:rsid w:val="00861803"/>
    <w:rsid w:val="008659F4"/>
    <w:rsid w:val="00866EF0"/>
    <w:rsid w:val="00887FBC"/>
    <w:rsid w:val="009431E1"/>
    <w:rsid w:val="009468C6"/>
    <w:rsid w:val="009B7FAC"/>
    <w:rsid w:val="009D4710"/>
    <w:rsid w:val="009D75F1"/>
    <w:rsid w:val="00A02BDD"/>
    <w:rsid w:val="00A1776E"/>
    <w:rsid w:val="00A32FC8"/>
    <w:rsid w:val="00A37909"/>
    <w:rsid w:val="00A47EAA"/>
    <w:rsid w:val="00A6247A"/>
    <w:rsid w:val="00A7547E"/>
    <w:rsid w:val="00A84562"/>
    <w:rsid w:val="00A84655"/>
    <w:rsid w:val="00AB5057"/>
    <w:rsid w:val="00AD6747"/>
    <w:rsid w:val="00AF53BF"/>
    <w:rsid w:val="00B201B0"/>
    <w:rsid w:val="00B86FF9"/>
    <w:rsid w:val="00BC334D"/>
    <w:rsid w:val="00BC7767"/>
    <w:rsid w:val="00BD5030"/>
    <w:rsid w:val="00BE3024"/>
    <w:rsid w:val="00BF619B"/>
    <w:rsid w:val="00C07ACC"/>
    <w:rsid w:val="00C20F2A"/>
    <w:rsid w:val="00C2157A"/>
    <w:rsid w:val="00C5655F"/>
    <w:rsid w:val="00C83D6A"/>
    <w:rsid w:val="00C857AD"/>
    <w:rsid w:val="00CC6D09"/>
    <w:rsid w:val="00CD0613"/>
    <w:rsid w:val="00CF2CA6"/>
    <w:rsid w:val="00D1656B"/>
    <w:rsid w:val="00D3543C"/>
    <w:rsid w:val="00D600DF"/>
    <w:rsid w:val="00D82E8B"/>
    <w:rsid w:val="00D830DA"/>
    <w:rsid w:val="00D85D29"/>
    <w:rsid w:val="00DC6ECA"/>
    <w:rsid w:val="00DC7491"/>
    <w:rsid w:val="00E31C61"/>
    <w:rsid w:val="00E62382"/>
    <w:rsid w:val="00E66EBC"/>
    <w:rsid w:val="00E91CA4"/>
    <w:rsid w:val="00EC5D31"/>
    <w:rsid w:val="00ED4100"/>
    <w:rsid w:val="00ED76C5"/>
    <w:rsid w:val="00F0324A"/>
    <w:rsid w:val="00F20BE4"/>
    <w:rsid w:val="00F57F83"/>
    <w:rsid w:val="00F8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C2D05"/>
  <w15:docId w15:val="{975989DE-88BE-43F2-9849-72178628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E22"/>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7D2E22"/>
    <w:rPr>
      <w:vertAlign w:val="superscript"/>
    </w:rPr>
  </w:style>
  <w:style w:type="character" w:styleId="Odwoanieprzypisudolnego">
    <w:name w:val="footnote reference"/>
    <w:uiPriority w:val="99"/>
    <w:rsid w:val="007D2E22"/>
    <w:rPr>
      <w:vertAlign w:val="superscript"/>
    </w:rPr>
  </w:style>
  <w:style w:type="paragraph" w:styleId="Tekstpodstawowy">
    <w:name w:val="Body Text"/>
    <w:basedOn w:val="Normalny"/>
    <w:link w:val="TekstpodstawowyZnak1"/>
    <w:rsid w:val="007D2E22"/>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uiPriority w:val="99"/>
    <w:semiHidden/>
    <w:rsid w:val="007D2E22"/>
    <w:rPr>
      <w:rFonts w:ascii="Calibri" w:eastAsia="Times New Roman" w:hAnsi="Calibri" w:cs="Times New Roman"/>
      <w:lang w:eastAsia="zh-CN"/>
    </w:rPr>
  </w:style>
  <w:style w:type="character" w:customStyle="1" w:styleId="TekstpodstawowyZnak1">
    <w:name w:val="Tekst podstawowy Znak1"/>
    <w:link w:val="Tekstpodstawowy"/>
    <w:rsid w:val="007D2E22"/>
    <w:rPr>
      <w:rFonts w:ascii="Times New Roman" w:eastAsia="Times New Roman" w:hAnsi="Times New Roman" w:cs="Times New Roman"/>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7D2E22"/>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7D2E22"/>
    <w:rPr>
      <w:rFonts w:ascii="Calibri" w:eastAsia="Times New Roman" w:hAnsi="Calibri" w:cs="Times New Roman"/>
      <w:sz w:val="20"/>
      <w:szCs w:val="20"/>
      <w:lang w:eastAsia="zh-CN"/>
    </w:rPr>
  </w:style>
  <w:style w:type="character" w:customStyle="1" w:styleId="TekstprzypisudolnegoZnak1">
    <w:name w:val="Tekst przypisu dolnego Znak1"/>
    <w:aliases w:val="Podrozdział Znak1,Footnote Znak,Podrozdział Znak Znak,Podrozdzia3 Znak"/>
    <w:link w:val="Tekstprzypisudolnego"/>
    <w:uiPriority w:val="99"/>
    <w:locked/>
    <w:rsid w:val="007D2E22"/>
    <w:rPr>
      <w:rFonts w:ascii="Times New Roman" w:eastAsia="Times New Roman" w:hAnsi="Times New Roman" w:cs="Times New Roman"/>
      <w:sz w:val="20"/>
      <w:szCs w:val="20"/>
      <w:lang w:eastAsia="zh-CN"/>
    </w:rPr>
  </w:style>
  <w:style w:type="paragraph" w:styleId="Nagwek">
    <w:name w:val="header"/>
    <w:basedOn w:val="Normalny"/>
    <w:link w:val="NagwekZnak"/>
    <w:uiPriority w:val="99"/>
    <w:unhideWhenUsed/>
    <w:rsid w:val="00A47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EAA"/>
    <w:rPr>
      <w:rFonts w:ascii="Calibri" w:eastAsia="Times New Roman" w:hAnsi="Calibri" w:cs="Times New Roman"/>
      <w:lang w:eastAsia="zh-CN"/>
    </w:rPr>
  </w:style>
  <w:style w:type="paragraph" w:styleId="Stopka">
    <w:name w:val="footer"/>
    <w:basedOn w:val="Normalny"/>
    <w:link w:val="StopkaZnak"/>
    <w:uiPriority w:val="99"/>
    <w:unhideWhenUsed/>
    <w:rsid w:val="00A47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EAA"/>
    <w:rPr>
      <w:rFonts w:ascii="Calibri" w:eastAsia="Times New Roman" w:hAnsi="Calibri" w:cs="Times New Roman"/>
      <w:lang w:eastAsia="zh-CN"/>
    </w:rPr>
  </w:style>
  <w:style w:type="paragraph" w:styleId="Tekstdymka">
    <w:name w:val="Balloon Text"/>
    <w:basedOn w:val="Normalny"/>
    <w:link w:val="TekstdymkaZnak"/>
    <w:uiPriority w:val="99"/>
    <w:semiHidden/>
    <w:unhideWhenUsed/>
    <w:rsid w:val="00A845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562"/>
    <w:rPr>
      <w:rFonts w:ascii="Segoe UI" w:eastAsia="Times New Roman" w:hAnsi="Segoe UI" w:cs="Segoe UI"/>
      <w:sz w:val="18"/>
      <w:szCs w:val="18"/>
      <w:lang w:eastAsia="zh-CN"/>
    </w:rPr>
  </w:style>
  <w:style w:type="paragraph" w:styleId="Akapitzlist">
    <w:name w:val="List Paragraph"/>
    <w:basedOn w:val="Normalny"/>
    <w:uiPriority w:val="34"/>
    <w:qFormat/>
    <w:rsid w:val="00327F58"/>
    <w:pPr>
      <w:ind w:left="720"/>
      <w:contextualSpacing/>
    </w:pPr>
  </w:style>
  <w:style w:type="character" w:styleId="Hipercze">
    <w:name w:val="Hyperlink"/>
    <w:basedOn w:val="Domylnaczcionkaakapitu"/>
    <w:uiPriority w:val="99"/>
    <w:unhideWhenUsed/>
    <w:rsid w:val="00A6247A"/>
    <w:rPr>
      <w:color w:val="0563C1" w:themeColor="hyperlink"/>
      <w:u w:val="single"/>
    </w:rPr>
  </w:style>
  <w:style w:type="paragraph" w:customStyle="1" w:styleId="Default">
    <w:name w:val="Default"/>
    <w:rsid w:val="001641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22FB-98AF-41A7-8B13-975B0930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3615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Grzegorczyk Izabela</dc:creator>
  <cp:lastModifiedBy>Jurkowska Katarzyna</cp:lastModifiedBy>
  <cp:revision>2</cp:revision>
  <cp:lastPrinted>2019-11-08T13:16:00Z</cp:lastPrinted>
  <dcterms:created xsi:type="dcterms:W3CDTF">2022-12-13T12:00:00Z</dcterms:created>
  <dcterms:modified xsi:type="dcterms:W3CDTF">2022-12-13T12:00:00Z</dcterms:modified>
</cp:coreProperties>
</file>