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1543D" w14:textId="5F4F03AD" w:rsidR="00E152D0" w:rsidRDefault="00276A21" w:rsidP="00CF46D5">
      <w:pPr>
        <w:jc w:val="right"/>
        <w:rPr>
          <w:lang w:val="pl-PL"/>
        </w:rPr>
      </w:pPr>
      <w:r w:rsidRPr="00BE4395">
        <w:rPr>
          <w:lang w:val="pl-PL"/>
        </w:rPr>
        <w:t xml:space="preserve">Warszawa, </w:t>
      </w:r>
      <w:r w:rsidR="00522D83">
        <w:rPr>
          <w:lang w:val="pl-PL"/>
        </w:rPr>
        <w:t>sierpień</w:t>
      </w:r>
      <w:r w:rsidRPr="00BE4395">
        <w:rPr>
          <w:lang w:val="pl-PL"/>
        </w:rPr>
        <w:t xml:space="preserve"> 202</w:t>
      </w:r>
      <w:r w:rsidR="006C36D0">
        <w:rPr>
          <w:lang w:val="pl-PL"/>
        </w:rPr>
        <w:t>2</w:t>
      </w:r>
    </w:p>
    <w:p w14:paraId="75526728" w14:textId="659D1994" w:rsidR="008076C7" w:rsidRDefault="008076C7" w:rsidP="003A254E">
      <w:pPr>
        <w:rPr>
          <w:lang w:val="pl-PL"/>
        </w:rPr>
      </w:pPr>
      <w:r>
        <w:rPr>
          <w:lang w:val="pl-PL"/>
        </w:rPr>
        <w:t>Informacja prasowa</w:t>
      </w:r>
    </w:p>
    <w:p w14:paraId="3FBDDA8C" w14:textId="77777777" w:rsidR="006C36D0" w:rsidRPr="00BE4395" w:rsidRDefault="006C36D0" w:rsidP="003A254E">
      <w:pPr>
        <w:jc w:val="both"/>
        <w:rPr>
          <w:lang w:val="pl-PL"/>
        </w:rPr>
      </w:pPr>
    </w:p>
    <w:p w14:paraId="39D89371" w14:textId="7FD27138" w:rsidR="00C36446" w:rsidRDefault="00522D83" w:rsidP="00522D83">
      <w:pPr>
        <w:jc w:val="center"/>
        <w:rPr>
          <w:lang w:val="pl-PL"/>
        </w:rPr>
      </w:pPr>
      <w:bookmarkStart w:id="0" w:name="_GoBack"/>
      <w:r w:rsidRPr="00522D83">
        <w:rPr>
          <w:b/>
          <w:bCs/>
          <w:lang w:val="pl-PL"/>
        </w:rPr>
        <w:t>Czy sytuacj</w:t>
      </w:r>
      <w:r w:rsidR="009A7600">
        <w:rPr>
          <w:b/>
          <w:bCs/>
          <w:lang w:val="pl-PL"/>
        </w:rPr>
        <w:t>a energetyczna</w:t>
      </w:r>
      <w:r w:rsidRPr="00522D83">
        <w:rPr>
          <w:b/>
          <w:bCs/>
          <w:lang w:val="pl-PL"/>
        </w:rPr>
        <w:t xml:space="preserve"> </w:t>
      </w:r>
      <w:r w:rsidR="009A7600">
        <w:rPr>
          <w:b/>
          <w:bCs/>
          <w:lang w:val="pl-PL"/>
        </w:rPr>
        <w:t>w Polsce i na świecie powinna wpłynąć na odroczenie realizacji</w:t>
      </w:r>
      <w:r w:rsidRPr="00522D83">
        <w:rPr>
          <w:b/>
          <w:bCs/>
          <w:lang w:val="pl-PL"/>
        </w:rPr>
        <w:t xml:space="preserve"> celów ekologicznych?</w:t>
      </w:r>
    </w:p>
    <w:bookmarkEnd w:id="0"/>
    <w:p w14:paraId="2CC20384" w14:textId="178195DA" w:rsidR="00522D83" w:rsidRPr="00522D83" w:rsidRDefault="00522D83" w:rsidP="00522D83">
      <w:pPr>
        <w:jc w:val="both"/>
        <w:rPr>
          <w:lang w:val="pl-PL"/>
        </w:rPr>
      </w:pPr>
      <w:r w:rsidRPr="00522D83">
        <w:rPr>
          <w:lang w:val="pl-PL"/>
        </w:rPr>
        <w:t xml:space="preserve">Postępujące w ostatnich latach zmiany klimatu </w:t>
      </w:r>
      <w:r w:rsidR="009A7600">
        <w:rPr>
          <w:lang w:val="pl-PL"/>
        </w:rPr>
        <w:t>obligują decydentów do podejmowania</w:t>
      </w:r>
      <w:r w:rsidR="005C5BC9">
        <w:rPr>
          <w:lang w:val="pl-PL"/>
        </w:rPr>
        <w:t xml:space="preserve"> licznych inicjatyw</w:t>
      </w:r>
      <w:r w:rsidRPr="00522D83">
        <w:rPr>
          <w:lang w:val="pl-PL"/>
        </w:rPr>
        <w:t xml:space="preserve"> i działa</w:t>
      </w:r>
      <w:r w:rsidR="005C5BC9">
        <w:rPr>
          <w:lang w:val="pl-PL"/>
        </w:rPr>
        <w:t>ń na arenie międzynarodowej. Takie przedsięwzięcia jak</w:t>
      </w:r>
      <w:r w:rsidRPr="00522D83">
        <w:rPr>
          <w:lang w:val="pl-PL"/>
        </w:rPr>
        <w:t xml:space="preserve"> Porozumienie paryskie, Agenda 2030 czy Europejski Zielony Ład nadały szybszego tempa oraz podniosły priorytet kwestii związanych z klimatem i działaniami na rzecz zrównoważonego rozwoju. Ostatnia z ww. inicjatyw, tj.  Europejski Zielony Ład jest szczególnie ambitna i kompleksowa</w:t>
      </w:r>
      <w:r>
        <w:rPr>
          <w:lang w:val="pl-PL"/>
        </w:rPr>
        <w:t>,</w:t>
      </w:r>
      <w:r w:rsidR="005C5BC9">
        <w:rPr>
          <w:lang w:val="pl-PL"/>
        </w:rPr>
        <w:t xml:space="preserve"> ponieważ</w:t>
      </w:r>
      <w:r w:rsidRPr="00522D83">
        <w:rPr>
          <w:lang w:val="pl-PL"/>
        </w:rPr>
        <w:t xml:space="preserve"> obejmuje</w:t>
      </w:r>
      <w:r w:rsidR="005C5BC9">
        <w:rPr>
          <w:lang w:val="pl-PL"/>
        </w:rPr>
        <w:t xml:space="preserve"> łącznie aż</w:t>
      </w:r>
      <w:r w:rsidRPr="00522D83">
        <w:rPr>
          <w:lang w:val="pl-PL"/>
        </w:rPr>
        <w:t xml:space="preserve"> 48 działań w różnych dziedzinach – od sektora energii, poprzez rolnictwo i transport kończąc na udziale społeczeństwa w walce ze zmianami klimatu. Obecnie głównym celem UE jest osiągnięcie neutralności klimatycznej w perspektywie do 2050 r. Natomiast do 2030 r. UE narzuciła sobie zobowiązanie zredukowania emisji o co najmniej 55% redukcji emisji netto w porównaniu z 1990 r. Zgodnie z szacunkami Komisji Europejskiej</w:t>
      </w:r>
      <w:r w:rsidR="00BC0080">
        <w:rPr>
          <w:lang w:val="pl-PL"/>
        </w:rPr>
        <w:t>,</w:t>
      </w:r>
      <w:r w:rsidRPr="00522D83">
        <w:rPr>
          <w:lang w:val="pl-PL"/>
        </w:rPr>
        <w:t xml:space="preserve"> aby osiągnąć cele Zielonego Ładu, w </w:t>
      </w:r>
      <w:r w:rsidR="005C5BC9">
        <w:rPr>
          <w:lang w:val="pl-PL"/>
        </w:rPr>
        <w:t>obecnym</w:t>
      </w:r>
      <w:r w:rsidRPr="00522D83">
        <w:rPr>
          <w:lang w:val="pl-PL"/>
        </w:rPr>
        <w:t xml:space="preserve"> dziesięcioleciu (2021–2030)</w:t>
      </w:r>
      <w:r w:rsidR="005C5BC9">
        <w:rPr>
          <w:lang w:val="pl-PL"/>
        </w:rPr>
        <w:t>,</w:t>
      </w:r>
      <w:r w:rsidRPr="00522D83">
        <w:rPr>
          <w:lang w:val="pl-PL"/>
        </w:rPr>
        <w:t xml:space="preserve"> UE będzie musiała zwiększyć roczne inwestycje o około 520 mld EUR w porównaniu z poprzednim dziesięcioleciem (390 mld EUR rocznie przypada na dekarbonizację gospodarki oraz 130 mld  na pozostałe cele środo</w:t>
      </w:r>
      <w:r w:rsidR="00BC0080">
        <w:rPr>
          <w:lang w:val="pl-PL"/>
        </w:rPr>
        <w:t>wiskowe zielonej transformacji)</w:t>
      </w:r>
      <w:r w:rsidR="00BC0080">
        <w:rPr>
          <w:rStyle w:val="Odwoanieprzypisudolnego"/>
          <w:lang w:val="pl-PL"/>
        </w:rPr>
        <w:footnoteReference w:id="1"/>
      </w:r>
      <w:r w:rsidRPr="00522D83">
        <w:rPr>
          <w:lang w:val="pl-PL"/>
        </w:rPr>
        <w:t>. Taka skala wydatków wykracza poza możliwości sektora publicznego i wiąże się z koniecznością przekierowania kapitałów prywatnych na inwestycje bardziej sprzyjaj</w:t>
      </w:r>
      <w:r w:rsidR="005C5BC9">
        <w:rPr>
          <w:lang w:val="pl-PL"/>
        </w:rPr>
        <w:t>ące zrównoważonemu rozwojowi, a to z kolei</w:t>
      </w:r>
      <w:r w:rsidRPr="00522D83">
        <w:rPr>
          <w:lang w:val="pl-PL"/>
        </w:rPr>
        <w:t xml:space="preserve"> będzie wymagało dogłębnej zmiany sposobu funkcjonowania systemu finansowego. </w:t>
      </w:r>
    </w:p>
    <w:p w14:paraId="2A0D9B32" w14:textId="5083B64E" w:rsidR="00522D83" w:rsidRDefault="00522D83" w:rsidP="00522D83">
      <w:pPr>
        <w:jc w:val="both"/>
        <w:rPr>
          <w:lang w:val="pl-PL"/>
        </w:rPr>
      </w:pPr>
      <w:r w:rsidRPr="00522D83">
        <w:rPr>
          <w:lang w:val="pl-PL"/>
        </w:rPr>
        <w:t xml:space="preserve">Jednocześnie cała Europa mierzy się dziś z bardzo trudną sytuacją gospodarczą i geopolityczną. Ożywienie </w:t>
      </w:r>
      <w:proofErr w:type="spellStart"/>
      <w:r w:rsidRPr="00522D83">
        <w:rPr>
          <w:lang w:val="pl-PL"/>
        </w:rPr>
        <w:t>pocovidowe</w:t>
      </w:r>
      <w:proofErr w:type="spellEnd"/>
      <w:r w:rsidRPr="00522D83">
        <w:rPr>
          <w:lang w:val="pl-PL"/>
        </w:rPr>
        <w:t xml:space="preserve">, przerwanie łańcuchów dostaw oraz agresja Rosji na Ukrainę wywołało drastyczny wzrost cen surowców, nośników energii i samej energii elektrycznej, co przyczyniło się do największego wzrostu inflacji na świecie od lat 70-tych XX w. Aby przeciwdziałać rosnącym cenom, większość rządów w Europie zdecydowała się na podnoszenie stóp procentowych, co negatywnie odbija się na sytuacji </w:t>
      </w:r>
      <w:r w:rsidR="005C5BC9">
        <w:rPr>
          <w:lang w:val="pl-PL"/>
        </w:rPr>
        <w:t xml:space="preserve">zarówno </w:t>
      </w:r>
      <w:r w:rsidRPr="00522D83">
        <w:rPr>
          <w:lang w:val="pl-PL"/>
        </w:rPr>
        <w:t>producentów</w:t>
      </w:r>
      <w:r w:rsidR="005C5BC9">
        <w:rPr>
          <w:lang w:val="pl-PL"/>
        </w:rPr>
        <w:t>, jak</w:t>
      </w:r>
      <w:r w:rsidRPr="00522D83">
        <w:rPr>
          <w:lang w:val="pl-PL"/>
        </w:rPr>
        <w:t xml:space="preserve"> i konsumentów, ponieważ oznacza wyższe koszty </w:t>
      </w:r>
      <w:r w:rsidR="005C5BC9">
        <w:rPr>
          <w:lang w:val="pl-PL"/>
        </w:rPr>
        <w:t xml:space="preserve">m.in. </w:t>
      </w:r>
      <w:r w:rsidRPr="00522D83">
        <w:rPr>
          <w:lang w:val="pl-PL"/>
        </w:rPr>
        <w:t xml:space="preserve">kredytów. </w:t>
      </w:r>
    </w:p>
    <w:p w14:paraId="67F5A267" w14:textId="49E3FD00" w:rsidR="005C5BC9" w:rsidRPr="005C5BC9" w:rsidRDefault="005C5BC9" w:rsidP="00522D83">
      <w:pPr>
        <w:jc w:val="both"/>
        <w:rPr>
          <w:b/>
          <w:lang w:val="pl-PL"/>
        </w:rPr>
      </w:pPr>
      <w:r w:rsidRPr="005C5BC9">
        <w:rPr>
          <w:b/>
          <w:lang w:val="pl-PL"/>
        </w:rPr>
        <w:t>„</w:t>
      </w:r>
      <w:proofErr w:type="spellStart"/>
      <w:r w:rsidRPr="005C5BC9">
        <w:rPr>
          <w:b/>
          <w:lang w:val="pl-PL"/>
        </w:rPr>
        <w:t>Derusyfikacja</w:t>
      </w:r>
      <w:proofErr w:type="spellEnd"/>
      <w:r w:rsidRPr="005C5BC9">
        <w:rPr>
          <w:b/>
          <w:lang w:val="pl-PL"/>
        </w:rPr>
        <w:t xml:space="preserve">” dostaw </w:t>
      </w:r>
      <w:r>
        <w:rPr>
          <w:b/>
          <w:lang w:val="pl-PL"/>
        </w:rPr>
        <w:t>energii</w:t>
      </w:r>
    </w:p>
    <w:p w14:paraId="23003C2F" w14:textId="77777777" w:rsidR="005C5BC9" w:rsidRDefault="00522D83" w:rsidP="00522D83">
      <w:pPr>
        <w:jc w:val="both"/>
        <w:rPr>
          <w:lang w:val="pl-PL"/>
        </w:rPr>
      </w:pPr>
      <w:r w:rsidRPr="00522D83">
        <w:rPr>
          <w:lang w:val="pl-PL"/>
        </w:rPr>
        <w:t>„</w:t>
      </w:r>
      <w:proofErr w:type="spellStart"/>
      <w:r w:rsidRPr="00522D83">
        <w:rPr>
          <w:lang w:val="pl-PL"/>
        </w:rPr>
        <w:t>Derusyfikacja</w:t>
      </w:r>
      <w:proofErr w:type="spellEnd"/>
      <w:r w:rsidRPr="00522D83">
        <w:rPr>
          <w:lang w:val="pl-PL"/>
        </w:rPr>
        <w:t xml:space="preserve">” dostaw paliw kopalnych w związku z atakiem Rosji na Ukrainę zapoczątkowała proces przewartościowania myślenia o polityce energetycznej. </w:t>
      </w:r>
    </w:p>
    <w:p w14:paraId="53B92111" w14:textId="77777777" w:rsidR="005C5BC9" w:rsidRDefault="00522D83" w:rsidP="00522D83">
      <w:pPr>
        <w:jc w:val="both"/>
        <w:rPr>
          <w:lang w:val="pl-PL"/>
        </w:rPr>
      </w:pPr>
      <w:r w:rsidRPr="00522D83">
        <w:rPr>
          <w:lang w:val="pl-PL"/>
        </w:rPr>
        <w:t xml:space="preserve">Osłabia się znaczenie gazu ziemnego – który był przedstawiany jako paliwo przejściowe, ze względu na duży udział importu tego paliwa z kierunku rosyjskiego. W tych nowych okolicznościach krótkookresowym priorytetem dla Europy powinno być bezpieczeństwo dostaw oraz jak najszybszy koniec importu paliw z Rosji, natomiast na drugim miejscu powinna znaleźć się polityka klimatyczna i redukcja emisji. Nie oznacza to jednak, że obecną sytuację powinniśmy traktować jako pretekst do odejścia od polityki klimatyczno-energetycznej. Wręcz przeciwnie – powinniśmy ją lepiej wykorzystać i stopniowo uniezależnić się od paliw </w:t>
      </w:r>
      <w:r w:rsidRPr="00522D83">
        <w:rPr>
          <w:lang w:val="pl-PL"/>
        </w:rPr>
        <w:lastRenderedPageBreak/>
        <w:t xml:space="preserve">kopalnych np. poprzez intensyfikację działań na rzecz zwiększania udziału odnawialnych źródeł energii i poprawę efektywności energetycznej. </w:t>
      </w:r>
    </w:p>
    <w:p w14:paraId="14CBFA74" w14:textId="719E3620" w:rsidR="005C5BC9" w:rsidRDefault="00522D83" w:rsidP="00522D83">
      <w:pPr>
        <w:jc w:val="both"/>
        <w:rPr>
          <w:lang w:val="pl-PL"/>
        </w:rPr>
      </w:pPr>
      <w:r w:rsidRPr="00522D83">
        <w:rPr>
          <w:lang w:val="pl-PL"/>
        </w:rPr>
        <w:t xml:space="preserve">W ramach </w:t>
      </w:r>
      <w:proofErr w:type="spellStart"/>
      <w:r w:rsidRPr="00522D83">
        <w:rPr>
          <w:lang w:val="pl-PL"/>
        </w:rPr>
        <w:t>REPowerEU</w:t>
      </w:r>
      <w:proofErr w:type="spellEnd"/>
      <w:r w:rsidRPr="00522D83">
        <w:rPr>
          <w:lang w:val="pl-PL"/>
        </w:rPr>
        <w:t xml:space="preserve"> środkami  średnioterminowymi mającymi na celu stopniowe wycofanie importu rosyjskich paliw kopalnych jest właśnie podniesieniu </w:t>
      </w:r>
      <w:proofErr w:type="spellStart"/>
      <w:r w:rsidRPr="00522D83">
        <w:rPr>
          <w:lang w:val="pl-PL"/>
        </w:rPr>
        <w:t>ogólnounijnego</w:t>
      </w:r>
      <w:proofErr w:type="spellEnd"/>
      <w:r w:rsidRPr="00522D83">
        <w:rPr>
          <w:lang w:val="pl-PL"/>
        </w:rPr>
        <w:t xml:space="preserve"> celu w zakresie efektywności energetycznej na 2030 r. z 9 do 13% oraz podniesienie europejskiego celu w zakresie odnawialnych źródeł energii do 2030 r. z 40 do 45%</w:t>
      </w:r>
      <w:r w:rsidR="00BC0080">
        <w:rPr>
          <w:rStyle w:val="Odwoanieprzypisudolnego"/>
          <w:lang w:val="pl-PL"/>
        </w:rPr>
        <w:footnoteReference w:id="2"/>
      </w:r>
      <w:r w:rsidRPr="00522D83">
        <w:rPr>
          <w:lang w:val="pl-PL"/>
        </w:rPr>
        <w:t xml:space="preserve">. Natomiast w związku z obecną sytuacją gospodarczą w Europie (wysokie ceny energii, inflacja i widmo recesji) należy rozważyć zmianę podejścia do tej polityki w krótszym terminie. </w:t>
      </w:r>
    </w:p>
    <w:p w14:paraId="5D8F57D8" w14:textId="5A2465B4" w:rsidR="005C5BC9" w:rsidRPr="005C5BC9" w:rsidRDefault="005C5BC9" w:rsidP="00522D83">
      <w:pPr>
        <w:jc w:val="both"/>
        <w:rPr>
          <w:b/>
          <w:lang w:val="pl-PL"/>
        </w:rPr>
      </w:pPr>
      <w:r w:rsidRPr="005C5BC9">
        <w:rPr>
          <w:b/>
          <w:lang w:val="pl-PL"/>
        </w:rPr>
        <w:t>Zmiana polityki energetycznej</w:t>
      </w:r>
    </w:p>
    <w:p w14:paraId="6707A880" w14:textId="633F772E" w:rsidR="00522D83" w:rsidRPr="00522D83" w:rsidRDefault="00522D83" w:rsidP="00522D83">
      <w:pPr>
        <w:jc w:val="both"/>
        <w:rPr>
          <w:lang w:val="pl-PL"/>
        </w:rPr>
      </w:pPr>
      <w:r w:rsidRPr="00522D83">
        <w:rPr>
          <w:lang w:val="pl-PL"/>
        </w:rPr>
        <w:t xml:space="preserve">Jak to zrobić? Po pierwsze powinniśmy pozwolić przejściowo na dłuższe korzystanie ze źródeł węglowych (ale w połączeniu z intensyfikacją działań zwiększających uzyskiwane oszczędności energii i udział OZE) oraz przeanalizować datę włączenia do systemu handlu sektora budynków i transport (tzw. BRT ETS), ponieważ w tym ostatnim przypadku nałożenie dodatkowych opłat mogłoby wywołać opór społeczny wobec polityki energetyczno-klimatycznej spowodowany wzrostem problemu ubóstwa energetycznego. </w:t>
      </w:r>
    </w:p>
    <w:p w14:paraId="609D0A1B" w14:textId="77777777" w:rsidR="005C5BC9" w:rsidRDefault="00522D83" w:rsidP="00522D83">
      <w:pPr>
        <w:jc w:val="both"/>
        <w:rPr>
          <w:lang w:val="pl-PL"/>
        </w:rPr>
      </w:pPr>
      <w:r w:rsidRPr="00522D83">
        <w:rPr>
          <w:lang w:val="pl-PL"/>
        </w:rPr>
        <w:t>Wśród narzędzi zmniejszających kosz</w:t>
      </w:r>
      <w:r w:rsidR="005C5BC9">
        <w:rPr>
          <w:lang w:val="pl-PL"/>
        </w:rPr>
        <w:t>t</w:t>
      </w:r>
      <w:r w:rsidRPr="00522D83">
        <w:rPr>
          <w:lang w:val="pl-PL"/>
        </w:rPr>
        <w:t>y energii</w:t>
      </w:r>
      <w:r w:rsidR="00BC0080">
        <w:rPr>
          <w:lang w:val="pl-PL"/>
        </w:rPr>
        <w:t>,</w:t>
      </w:r>
      <w:r w:rsidRPr="00522D83">
        <w:rPr>
          <w:lang w:val="pl-PL"/>
        </w:rPr>
        <w:t xml:space="preserve"> jakie posiada Polska</w:t>
      </w:r>
      <w:r w:rsidR="00BC0080">
        <w:rPr>
          <w:lang w:val="pl-PL"/>
        </w:rPr>
        <w:t>,</w:t>
      </w:r>
      <w:r w:rsidRPr="00522D83">
        <w:rPr>
          <w:lang w:val="pl-PL"/>
        </w:rPr>
        <w:t xml:space="preserve"> są przede wszystkim rozwiązania zmniejszające podatki i opłaty doliczane do finalnej ceny nośnika energii. </w:t>
      </w:r>
    </w:p>
    <w:p w14:paraId="66F3B3D2" w14:textId="521B7592" w:rsidR="005C5BC9" w:rsidRDefault="00522D83" w:rsidP="00522D83">
      <w:pPr>
        <w:jc w:val="both"/>
        <w:rPr>
          <w:lang w:val="pl-PL"/>
        </w:rPr>
      </w:pPr>
      <w:r w:rsidRPr="00522D83">
        <w:rPr>
          <w:lang w:val="pl-PL"/>
        </w:rPr>
        <w:t xml:space="preserve">Kolejnymi są działania zmierzające do zwiększenia udziału OZE w </w:t>
      </w:r>
      <w:proofErr w:type="spellStart"/>
      <w:r w:rsidRPr="00522D83">
        <w:rPr>
          <w:lang w:val="pl-PL"/>
        </w:rPr>
        <w:t>miksie</w:t>
      </w:r>
      <w:proofErr w:type="spellEnd"/>
      <w:r w:rsidRPr="00522D83">
        <w:rPr>
          <w:lang w:val="pl-PL"/>
        </w:rPr>
        <w:t xml:space="preserve">, co zmniejszyłoby uzależnienie od paliw kopalnych poprzez rozwój najtańszych w polskich warunkach technologii OZE tj. lądowych farm wiatrowych i </w:t>
      </w:r>
      <w:proofErr w:type="spellStart"/>
      <w:r w:rsidRPr="00522D83">
        <w:rPr>
          <w:lang w:val="pl-PL"/>
        </w:rPr>
        <w:t>fotowoltaiki</w:t>
      </w:r>
      <w:proofErr w:type="spellEnd"/>
      <w:r w:rsidRPr="00522D83">
        <w:rPr>
          <w:lang w:val="pl-PL"/>
        </w:rPr>
        <w:t>. Konieczne wydaje się również wypracowanie mechanizmu przedłużenia pracy bloków węglowych, co pozwoliłoby na mniejsze wykorzystanie gazu ziemnego jako paliwa przejściowego. Po agresji Rosji na Ukrainę</w:t>
      </w:r>
      <w:r w:rsidR="005C5BC9">
        <w:rPr>
          <w:lang w:val="pl-PL"/>
        </w:rPr>
        <w:t>,</w:t>
      </w:r>
      <w:r w:rsidRPr="00522D83">
        <w:rPr>
          <w:lang w:val="pl-PL"/>
        </w:rPr>
        <w:t xml:space="preserve"> Polska powinna dłużej wykorzystywać węgiel jako paliwo rezerwujące niesterowalne źródła OZE</w:t>
      </w:r>
      <w:r w:rsidR="00BC0080">
        <w:rPr>
          <w:lang w:val="pl-PL"/>
        </w:rPr>
        <w:t>,</w:t>
      </w:r>
      <w:r w:rsidRPr="00522D83">
        <w:rPr>
          <w:lang w:val="pl-PL"/>
        </w:rPr>
        <w:t xml:space="preserve"> by zmniejszać import gazu, a negocjowanie daty końca wsparcia węgla z rynku mocy wydaje się istotnym kierunkiem działań</w:t>
      </w:r>
      <w:r w:rsidR="00BC0080">
        <w:rPr>
          <w:lang w:val="pl-PL"/>
        </w:rPr>
        <w:t>,</w:t>
      </w:r>
      <w:r w:rsidRPr="00522D83">
        <w:rPr>
          <w:lang w:val="pl-PL"/>
        </w:rPr>
        <w:t xml:space="preserve"> </w:t>
      </w:r>
      <w:r w:rsidR="005C5BC9">
        <w:rPr>
          <w:lang w:val="pl-PL"/>
        </w:rPr>
        <w:t xml:space="preserve">jakie może podjąć polski Rząd. </w:t>
      </w:r>
    </w:p>
    <w:p w14:paraId="40BC5364" w14:textId="77777777" w:rsidR="005C5BC9" w:rsidRDefault="005C5BC9" w:rsidP="00522D83">
      <w:pPr>
        <w:jc w:val="both"/>
        <w:rPr>
          <w:lang w:val="pl-PL"/>
        </w:rPr>
      </w:pPr>
      <w:r>
        <w:rPr>
          <w:lang w:val="pl-PL"/>
        </w:rPr>
        <w:t>K</w:t>
      </w:r>
      <w:r w:rsidR="00522D83" w:rsidRPr="00522D83">
        <w:rPr>
          <w:lang w:val="pl-PL"/>
        </w:rPr>
        <w:t xml:space="preserve">olejnym punktem jest konsekwentne wdrażanie energetyki jądrowej – stabilnego i </w:t>
      </w:r>
      <w:proofErr w:type="spellStart"/>
      <w:r w:rsidR="00522D83" w:rsidRPr="00522D83">
        <w:rPr>
          <w:lang w:val="pl-PL"/>
        </w:rPr>
        <w:t>bezemisyjnego</w:t>
      </w:r>
      <w:proofErr w:type="spellEnd"/>
      <w:r w:rsidR="00522D83" w:rsidRPr="00522D83">
        <w:rPr>
          <w:lang w:val="pl-PL"/>
        </w:rPr>
        <w:t xml:space="preserve"> źródła energii. Wysokie koszty można ograniczyć</w:t>
      </w:r>
      <w:r w:rsidR="00BC0080">
        <w:rPr>
          <w:lang w:val="pl-PL"/>
        </w:rPr>
        <w:t>,</w:t>
      </w:r>
      <w:r w:rsidR="00522D83" w:rsidRPr="00522D83">
        <w:rPr>
          <w:lang w:val="pl-PL"/>
        </w:rPr>
        <w:t xml:space="preserve"> np. zmniejszając zużycie energii poprzez niższą temperaturę w mieszkaniu bądź redukując użycie samochodu – chociażby przez promocję pracy zdalnej w sektorach, w których jest możliwa lub ograniczając zbędne podróże – zmniejszamy nasze wydatki na nośniki energii, a każde takie działanie dodatkowo wpływa na zbliżenie się do równowagi na rynkach energii</w:t>
      </w:r>
      <w:r>
        <w:rPr>
          <w:lang w:val="pl-PL"/>
        </w:rPr>
        <w:t>,</w:t>
      </w:r>
      <w:r w:rsidR="00522D83" w:rsidRPr="00522D83">
        <w:rPr>
          <w:lang w:val="pl-PL"/>
        </w:rPr>
        <w:t xml:space="preserve"> więc i na spadek ich cen. Zatem zmniejszając zużycie energii</w:t>
      </w:r>
      <w:r w:rsidR="00BC0080">
        <w:rPr>
          <w:lang w:val="pl-PL"/>
        </w:rPr>
        <w:t>,</w:t>
      </w:r>
      <w:r w:rsidR="00522D83" w:rsidRPr="00522D83">
        <w:rPr>
          <w:lang w:val="pl-PL"/>
        </w:rPr>
        <w:t xml:space="preserve"> zmniejszamy nasze rachunki na dwa sposoby zarówno poprzez zmniejszenie ilości koniecznej do zakupu energii, jak i działając w kierunku zrównoważenia popytu z podażą</w:t>
      </w:r>
      <w:r w:rsidR="00BC0080">
        <w:rPr>
          <w:lang w:val="pl-PL"/>
        </w:rPr>
        <w:t>,</w:t>
      </w:r>
      <w:r w:rsidR="00522D83" w:rsidRPr="00522D83">
        <w:rPr>
          <w:lang w:val="pl-PL"/>
        </w:rPr>
        <w:t xml:space="preserve"> zmniejszamy finalną cenę każdego nośnika energii. </w:t>
      </w:r>
    </w:p>
    <w:p w14:paraId="2BD82073" w14:textId="3ED9B332" w:rsidR="00522D83" w:rsidRPr="00522D83" w:rsidRDefault="00522D83" w:rsidP="00522D83">
      <w:pPr>
        <w:jc w:val="both"/>
        <w:rPr>
          <w:lang w:val="pl-PL"/>
        </w:rPr>
      </w:pPr>
      <w:r w:rsidRPr="00522D83">
        <w:rPr>
          <w:lang w:val="pl-PL"/>
        </w:rPr>
        <w:t>W długim horyzoncie czasowym ceny energii elektrycznej można obniżyć także dzięki subsydiom dla instalacji OZE. Subsydia obniżą koszty inwestycji dla producentów energii, a co za tym idzie, także ceny energii. Należy pamiętać jednak, że subsydia mogą stanowić znaczący koszt dla budżetu państwa.</w:t>
      </w:r>
    </w:p>
    <w:p w14:paraId="5609E1CA" w14:textId="77777777" w:rsidR="005C5BC9" w:rsidRPr="005C5BC9" w:rsidRDefault="005C5BC9" w:rsidP="00522D83">
      <w:pPr>
        <w:jc w:val="both"/>
        <w:rPr>
          <w:b/>
          <w:lang w:val="pl-PL"/>
        </w:rPr>
      </w:pPr>
      <w:r w:rsidRPr="005C5BC9">
        <w:rPr>
          <w:b/>
          <w:lang w:val="pl-PL"/>
        </w:rPr>
        <w:lastRenderedPageBreak/>
        <w:t>Co przyniesie przyszłość?</w:t>
      </w:r>
    </w:p>
    <w:p w14:paraId="1D61AF7A" w14:textId="7512BBDA" w:rsidR="00522D83" w:rsidRPr="00522D83" w:rsidRDefault="00522D83" w:rsidP="00522D83">
      <w:pPr>
        <w:jc w:val="both"/>
        <w:rPr>
          <w:lang w:val="pl-PL"/>
        </w:rPr>
      </w:pPr>
      <w:r w:rsidRPr="00522D83">
        <w:rPr>
          <w:lang w:val="pl-PL"/>
        </w:rPr>
        <w:t>W zasadzie cały świat będzie dążył do neutralności klimatycznej. Transformacja polskiej gospodarki w kierunku niskoemisyjnym jest konieczna, ponieważ brak działań może kosztować więcej niż wprowadzenie niezbędnych zmian. Stwarza to szansę dla dalszego rozwoju naszej gospodarki, wzmocnienia konkurencyjności oraz stworzenia nowych miejsc pracy. Koszty tego przedsięwzięcia będą ogromne, dlatego tak ważne jest wykorzystanie środków unijnych. Nie należy jednak z tym zwlekać, tylko działać już teraz. Dlatego też firmy powinny szukać źródeł finansowania tych inwestycji i np. rozważyć skorzystanie ze środków dostępnych w ramach systemu EU ETS (Fundusz Innowacyjny czy Modernizacyjny), czy funduszy krajowych np. Funduszu Transformacji Energetyki, do którego trafi 40% środków ze sprzedaży uprawnień w drodze aukcji z obecnego okresu rozliczeniowego. Należy przy tym pamiętać, że im wyższa cena uprawnień do emisji</w:t>
      </w:r>
      <w:r w:rsidR="00BC0080">
        <w:rPr>
          <w:lang w:val="pl-PL"/>
        </w:rPr>
        <w:t>,</w:t>
      </w:r>
      <w:r w:rsidRPr="00522D83">
        <w:rPr>
          <w:lang w:val="pl-PL"/>
        </w:rPr>
        <w:t xml:space="preserve"> tym więcej środków dostępnych na inwestycje w technologie niskoemisyjne. Z drugiej strony</w:t>
      </w:r>
      <w:r w:rsidR="005C5BC9">
        <w:rPr>
          <w:lang w:val="pl-PL"/>
        </w:rPr>
        <w:t>,</w:t>
      </w:r>
      <w:r w:rsidRPr="00522D83">
        <w:rPr>
          <w:lang w:val="pl-PL"/>
        </w:rPr>
        <w:t xml:space="preserve"> zbyt szybkie tempo wzrostów cen uprawnień do emisji w EU ETS zwiększa koszty przedsiębiorstw oraz wpływa na ceny energii elektrycznej. </w:t>
      </w:r>
      <w:r w:rsidR="005C5BC9">
        <w:rPr>
          <w:lang w:val="pl-PL"/>
        </w:rPr>
        <w:t>Oznacza to, że</w:t>
      </w:r>
      <w:r w:rsidRPr="00522D83">
        <w:rPr>
          <w:lang w:val="pl-PL"/>
        </w:rPr>
        <w:t xml:space="preserve"> niezbędna jest reforma tego systemu pod kątem wprowadzenia pewnych mechanizmów, które mogłyby tę cenę stabilizować. B</w:t>
      </w:r>
      <w:r w:rsidR="00BC0080">
        <w:rPr>
          <w:lang w:val="pl-PL"/>
        </w:rPr>
        <w:t>ardzo dobrym rozwiązaniem mogło</w:t>
      </w:r>
      <w:r w:rsidRPr="00522D83">
        <w:rPr>
          <w:lang w:val="pl-PL"/>
        </w:rPr>
        <w:t>by być np. „ulepszenie” istniejącego art. 29a dyrektywy EU ETS, tak aby szybciej reagował na nagłe wzrosty cen lub wykorzystanie uprawnień, które trafiają do rezerwy MSR</w:t>
      </w:r>
      <w:r w:rsidR="00BC0080">
        <w:rPr>
          <w:rStyle w:val="Odwoanieprzypisudolnego"/>
          <w:lang w:val="pl-PL"/>
        </w:rPr>
        <w:footnoteReference w:id="3"/>
      </w:r>
      <w:r w:rsidRPr="00522D83">
        <w:rPr>
          <w:lang w:val="pl-PL"/>
        </w:rPr>
        <w:t xml:space="preserve">. Ważny jest też nadzór nad tym rynkiem. Dlatego też europejski nadzór finansowy (ESMA) powinien lepiej monitorować ten rynek i starać się wyłapywać przypadki handlu uprawnieniami, które odbiegają od normy.  </w:t>
      </w:r>
    </w:p>
    <w:p w14:paraId="351C27F8" w14:textId="68C0084C" w:rsidR="00A2283D" w:rsidRDefault="00522D83" w:rsidP="00522D83">
      <w:pPr>
        <w:jc w:val="both"/>
        <w:rPr>
          <w:lang w:val="pl-PL"/>
        </w:rPr>
      </w:pPr>
      <w:r w:rsidRPr="00522D83">
        <w:rPr>
          <w:lang w:val="pl-PL"/>
        </w:rPr>
        <w:t>Reasumując</w:t>
      </w:r>
      <w:r w:rsidR="00BC0080">
        <w:rPr>
          <w:lang w:val="pl-PL"/>
        </w:rPr>
        <w:t>,</w:t>
      </w:r>
      <w:r w:rsidRPr="00522D83">
        <w:rPr>
          <w:lang w:val="pl-PL"/>
        </w:rPr>
        <w:t xml:space="preserve"> </w:t>
      </w:r>
      <w:r w:rsidRPr="00522D83">
        <w:rPr>
          <w:b/>
          <w:u w:val="single"/>
          <w:lang w:val="pl-PL"/>
        </w:rPr>
        <w:t>nie jest nam potrzebna zmiana celów redukcyjnych, a jedynie zmiana drogi dojścia do tych celów.</w:t>
      </w:r>
      <w:r w:rsidRPr="00522D83">
        <w:rPr>
          <w:lang w:val="pl-PL"/>
        </w:rPr>
        <w:t xml:space="preserve"> Można to osiągnąć poprzez przejściowe zapewnienie dostaw energii po akceptowalnej cenie (krótkoterminowo) i nie trzeba przy tym rezygnować z realizacji celów klimatycznych w dłuższym terminie (intensyfikacja rozwoju OZE i zwiększenie efektywności energetycznej)</w:t>
      </w:r>
      <w:r w:rsidR="007136FD">
        <w:rPr>
          <w:lang w:val="pl-PL"/>
        </w:rPr>
        <w:t>.</w:t>
      </w:r>
    </w:p>
    <w:p w14:paraId="3054C7EB" w14:textId="57B908D9" w:rsidR="009A7600" w:rsidRDefault="009A7600" w:rsidP="00522D83">
      <w:pPr>
        <w:jc w:val="both"/>
        <w:rPr>
          <w:lang w:val="pl-PL"/>
        </w:rPr>
      </w:pPr>
    </w:p>
    <w:p w14:paraId="08EB9D91" w14:textId="77777777" w:rsidR="009A7600" w:rsidRPr="00216D3A" w:rsidRDefault="009A7600" w:rsidP="009A7600">
      <w:pPr>
        <w:jc w:val="right"/>
        <w:rPr>
          <w:lang w:val="pl-PL"/>
        </w:rPr>
      </w:pPr>
      <w:r w:rsidRPr="00216D3A">
        <w:rPr>
          <w:lang w:val="pl-PL"/>
        </w:rPr>
        <w:t>dr inż. Krystian Szczepański</w:t>
      </w:r>
      <w:r>
        <w:rPr>
          <w:lang w:val="pl-PL"/>
        </w:rPr>
        <w:t>,</w:t>
      </w:r>
    </w:p>
    <w:p w14:paraId="52087E92" w14:textId="77777777" w:rsidR="009A7600" w:rsidRPr="00BE4395" w:rsidRDefault="009A7600" w:rsidP="009A7600">
      <w:pPr>
        <w:jc w:val="right"/>
        <w:rPr>
          <w:lang w:val="pl-PL"/>
        </w:rPr>
      </w:pPr>
      <w:r w:rsidRPr="00216D3A">
        <w:rPr>
          <w:lang w:val="pl-PL"/>
        </w:rPr>
        <w:t>Dyrektor</w:t>
      </w:r>
      <w:r>
        <w:rPr>
          <w:lang w:val="pl-PL"/>
        </w:rPr>
        <w:t xml:space="preserve"> </w:t>
      </w:r>
      <w:r w:rsidRPr="00216D3A">
        <w:rPr>
          <w:lang w:val="pl-PL"/>
        </w:rPr>
        <w:t>Instytutu Ochrony Środowiska</w:t>
      </w:r>
      <w:r>
        <w:rPr>
          <w:lang w:val="pl-PL"/>
        </w:rPr>
        <w:t>-</w:t>
      </w:r>
      <w:r w:rsidRPr="00216D3A">
        <w:rPr>
          <w:lang w:val="pl-PL"/>
        </w:rPr>
        <w:t>Państwowego Instytutu Badawczego</w:t>
      </w:r>
    </w:p>
    <w:p w14:paraId="70955EDF" w14:textId="77777777" w:rsidR="009A7600" w:rsidRPr="003A254E" w:rsidRDefault="009A7600" w:rsidP="00522D83">
      <w:pPr>
        <w:jc w:val="both"/>
        <w:rPr>
          <w:lang w:val="pl-PL"/>
        </w:rPr>
      </w:pPr>
    </w:p>
    <w:sectPr w:rsidR="009A7600" w:rsidRPr="003A254E" w:rsidSect="00522D0C">
      <w:headerReference w:type="even" r:id="rId8"/>
      <w:headerReference w:type="default" r:id="rId9"/>
      <w:footerReference w:type="even" r:id="rId10"/>
      <w:footerReference w:type="default" r:id="rId11"/>
      <w:headerReference w:type="first" r:id="rId12"/>
      <w:footerReference w:type="first" r:id="rId13"/>
      <w:pgSz w:w="11900" w:h="16840"/>
      <w:pgMar w:top="2268" w:right="1418" w:bottom="1418" w:left="1418" w:header="624"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AC852" w14:textId="77777777" w:rsidR="00347BF9" w:rsidRDefault="00347BF9" w:rsidP="004024BF">
      <w:r>
        <w:separator/>
      </w:r>
    </w:p>
    <w:p w14:paraId="5D53B779" w14:textId="77777777" w:rsidR="00347BF9" w:rsidRDefault="00347BF9"/>
  </w:endnote>
  <w:endnote w:type="continuationSeparator" w:id="0">
    <w:p w14:paraId="2C1706B2" w14:textId="77777777" w:rsidR="00347BF9" w:rsidRDefault="00347BF9" w:rsidP="004024BF">
      <w:r>
        <w:continuationSeparator/>
      </w:r>
    </w:p>
    <w:p w14:paraId="0A68B734" w14:textId="77777777" w:rsidR="00347BF9" w:rsidRDefault="00347B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427631849"/>
      <w:docPartObj>
        <w:docPartGallery w:val="Page Numbers (Bottom of Page)"/>
        <w:docPartUnique/>
      </w:docPartObj>
    </w:sdtPr>
    <w:sdtEndPr>
      <w:rPr>
        <w:rStyle w:val="Numerstrony"/>
      </w:rPr>
    </w:sdtEndPr>
    <w:sdtContent>
      <w:p w14:paraId="32808662" w14:textId="77777777" w:rsidR="0064567B" w:rsidRDefault="0064567B" w:rsidP="00EA736F">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07B02201" w14:textId="77777777" w:rsidR="0064567B" w:rsidRDefault="0064567B" w:rsidP="00204FB2">
    <w:pPr>
      <w:pStyle w:val="Stopka"/>
      <w:ind w:right="360"/>
    </w:pPr>
  </w:p>
  <w:p w14:paraId="0B1544BD" w14:textId="77777777" w:rsidR="0064567B" w:rsidRDefault="0064567B"/>
  <w:p w14:paraId="49FAC39D" w14:textId="77777777" w:rsidR="0064567B" w:rsidRDefault="0064567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strony"/>
      </w:rPr>
      <w:id w:val="1168838221"/>
      <w:docPartObj>
        <w:docPartGallery w:val="Page Numbers (Bottom of Page)"/>
        <w:docPartUnique/>
      </w:docPartObj>
    </w:sdtPr>
    <w:sdtEndPr>
      <w:rPr>
        <w:rStyle w:val="Numerstrony"/>
        <w:sz w:val="16"/>
        <w:szCs w:val="16"/>
      </w:rPr>
    </w:sdtEndPr>
    <w:sdtContent>
      <w:p w14:paraId="1404DC90" w14:textId="5107A01B" w:rsidR="00A63EC0" w:rsidRPr="00EA054C" w:rsidRDefault="00A63EC0" w:rsidP="00562694">
        <w:pPr>
          <w:pStyle w:val="Stopka"/>
          <w:framePr w:w="227" w:h="170" w:hRule="exact" w:wrap="around" w:vAnchor="page" w:hAnchor="page" w:x="10207" w:y="15594"/>
          <w:jc w:val="right"/>
          <w:rPr>
            <w:rStyle w:val="Numerstrony"/>
            <w:sz w:val="16"/>
            <w:szCs w:val="16"/>
          </w:rPr>
        </w:pPr>
        <w:r w:rsidRPr="00EA054C">
          <w:rPr>
            <w:rStyle w:val="Numerstrony"/>
            <w:sz w:val="16"/>
            <w:szCs w:val="16"/>
          </w:rPr>
          <w:fldChar w:fldCharType="begin"/>
        </w:r>
        <w:r w:rsidRPr="00EA054C">
          <w:rPr>
            <w:rStyle w:val="Numerstrony"/>
            <w:sz w:val="16"/>
            <w:szCs w:val="16"/>
          </w:rPr>
          <w:instrText xml:space="preserve"> PAGE </w:instrText>
        </w:r>
        <w:r w:rsidRPr="00EA054C">
          <w:rPr>
            <w:rStyle w:val="Numerstrony"/>
            <w:sz w:val="16"/>
            <w:szCs w:val="16"/>
          </w:rPr>
          <w:fldChar w:fldCharType="separate"/>
        </w:r>
        <w:r w:rsidR="005C5BC9">
          <w:rPr>
            <w:rStyle w:val="Numerstrony"/>
            <w:sz w:val="16"/>
            <w:szCs w:val="16"/>
          </w:rPr>
          <w:t>1</w:t>
        </w:r>
        <w:r w:rsidRPr="00EA054C">
          <w:rPr>
            <w:rStyle w:val="Numerstrony"/>
            <w:sz w:val="16"/>
            <w:szCs w:val="16"/>
          </w:rPr>
          <w:fldChar w:fldCharType="end"/>
        </w:r>
      </w:p>
    </w:sdtContent>
  </w:sdt>
  <w:p w14:paraId="198E47DF" w14:textId="77777777" w:rsidR="0064567B" w:rsidRPr="00BA6BD0" w:rsidRDefault="00A15001" w:rsidP="00A15001">
    <w:pPr>
      <w:pStyle w:val="Stopka"/>
      <w:rPr>
        <w:lang w:val="pl-PL"/>
      </w:rPr>
    </w:pPr>
    <w:r w:rsidRPr="002C51EB">
      <w:rPr>
        <w:lang w:val="pl-PL" w:eastAsia="pl-PL"/>
      </w:rPr>
      <w:drawing>
        <wp:anchor distT="0" distB="0" distL="114300" distR="114300" simplePos="0" relativeHeight="251659264" behindDoc="1" locked="0" layoutInCell="1" allowOverlap="1" wp14:anchorId="02842A34" wp14:editId="2353BB20">
          <wp:simplePos x="0" y="0"/>
          <wp:positionH relativeFrom="page">
            <wp:posOffset>0</wp:posOffset>
          </wp:positionH>
          <wp:positionV relativeFrom="page">
            <wp:align>bottom</wp:align>
          </wp:positionV>
          <wp:extent cx="7570800" cy="899669"/>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7570800" cy="899669"/>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46A81" w14:textId="77777777" w:rsidR="00522D0C" w:rsidRDefault="00522D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61A56" w14:textId="77777777" w:rsidR="00347BF9" w:rsidRDefault="00347BF9" w:rsidP="004024BF">
      <w:r>
        <w:separator/>
      </w:r>
    </w:p>
    <w:p w14:paraId="297D41AA" w14:textId="77777777" w:rsidR="00347BF9" w:rsidRDefault="00347BF9"/>
  </w:footnote>
  <w:footnote w:type="continuationSeparator" w:id="0">
    <w:p w14:paraId="32C29A3F" w14:textId="77777777" w:rsidR="00347BF9" w:rsidRDefault="00347BF9" w:rsidP="004024BF">
      <w:r>
        <w:continuationSeparator/>
      </w:r>
    </w:p>
    <w:p w14:paraId="6EA4414B" w14:textId="77777777" w:rsidR="00347BF9" w:rsidRDefault="00347BF9"/>
  </w:footnote>
  <w:footnote w:id="1">
    <w:p w14:paraId="3EF1FC0A" w14:textId="61EAAEEA" w:rsidR="00BC0080" w:rsidRPr="00BC0080" w:rsidRDefault="00BC0080">
      <w:pPr>
        <w:pStyle w:val="Tekstprzypisudolnego"/>
        <w:rPr>
          <w:lang w:val="pl-PL"/>
        </w:rPr>
      </w:pPr>
      <w:r>
        <w:rPr>
          <w:rStyle w:val="Odwoanieprzypisudolnego"/>
        </w:rPr>
        <w:footnoteRef/>
      </w:r>
      <w:r>
        <w:t xml:space="preserve"> </w:t>
      </w:r>
      <w:hyperlink r:id="rId1" w:history="1">
        <w:r w:rsidRPr="00984D19">
          <w:rPr>
            <w:rStyle w:val="Hipercze"/>
            <w:sz w:val="18"/>
            <w:szCs w:val="18"/>
          </w:rPr>
          <w:t>https://eur-lex.europa.eu/legal-content/PL/TXT/PDF/?uri=CELEX:52022DC0083&amp;from=EN</w:t>
        </w:r>
      </w:hyperlink>
    </w:p>
  </w:footnote>
  <w:footnote w:id="2">
    <w:p w14:paraId="4B564F06" w14:textId="2325FA37" w:rsidR="00BC0080" w:rsidRPr="00BC0080" w:rsidRDefault="00BC0080">
      <w:pPr>
        <w:pStyle w:val="Tekstprzypisudolnego"/>
        <w:rPr>
          <w:color w:val="50A4D2" w:themeColor="text2"/>
          <w:u w:val="single"/>
        </w:rPr>
      </w:pPr>
      <w:r>
        <w:rPr>
          <w:rStyle w:val="Odwoanieprzypisudolnego"/>
        </w:rPr>
        <w:footnoteRef/>
      </w:r>
      <w:r>
        <w:t xml:space="preserve"> </w:t>
      </w:r>
      <w:hyperlink r:id="rId2" w:history="1">
        <w:r w:rsidRPr="00336E3F">
          <w:rPr>
            <w:rStyle w:val="Hipercze"/>
            <w:sz w:val="18"/>
            <w:szCs w:val="18"/>
          </w:rPr>
          <w:t>https://eur-lex.europa.eu/resource.html?uri=cellar:fc930f14-d7ae-11ec-a95f-01aa75ed71a1.0010.02/DOC_1&amp;format=PDF</w:t>
        </w:r>
      </w:hyperlink>
    </w:p>
  </w:footnote>
  <w:footnote w:id="3">
    <w:p w14:paraId="749A2CF6" w14:textId="398ABF18" w:rsidR="00BC0080" w:rsidRPr="00BC0080" w:rsidRDefault="00BC0080">
      <w:pPr>
        <w:pStyle w:val="Tekstprzypisudolnego"/>
        <w:rPr>
          <w:lang w:val="pl-PL"/>
        </w:rPr>
      </w:pPr>
      <w:r>
        <w:rPr>
          <w:rStyle w:val="Odwoanieprzypisudolnego"/>
        </w:rPr>
        <w:footnoteRef/>
      </w:r>
      <w:r>
        <w:t xml:space="preserve"> </w:t>
      </w:r>
      <w:r w:rsidRPr="00C06E36">
        <w:rPr>
          <w:color w:val="000000"/>
          <w:sz w:val="18"/>
          <w:szCs w:val="18"/>
        </w:rPr>
        <w:t xml:space="preserve">KE w </w:t>
      </w:r>
      <w:proofErr w:type="spellStart"/>
      <w:r w:rsidRPr="00C06E36">
        <w:rPr>
          <w:color w:val="000000"/>
          <w:sz w:val="18"/>
          <w:szCs w:val="18"/>
        </w:rPr>
        <w:t>ramach</w:t>
      </w:r>
      <w:proofErr w:type="spellEnd"/>
      <w:r w:rsidRPr="00C06E36">
        <w:rPr>
          <w:color w:val="000000"/>
          <w:sz w:val="18"/>
          <w:szCs w:val="18"/>
        </w:rPr>
        <w:t xml:space="preserve"> </w:t>
      </w:r>
      <w:proofErr w:type="spellStart"/>
      <w:r w:rsidRPr="00C06E36">
        <w:rPr>
          <w:color w:val="000000"/>
          <w:sz w:val="18"/>
          <w:szCs w:val="18"/>
        </w:rPr>
        <w:t>planu</w:t>
      </w:r>
      <w:proofErr w:type="spellEnd"/>
      <w:r w:rsidRPr="00C06E36">
        <w:rPr>
          <w:color w:val="000000"/>
          <w:sz w:val="18"/>
          <w:szCs w:val="18"/>
        </w:rPr>
        <w:t xml:space="preserve"> „</w:t>
      </w:r>
      <w:proofErr w:type="spellStart"/>
      <w:r w:rsidRPr="00C06E36">
        <w:rPr>
          <w:color w:val="000000"/>
          <w:sz w:val="18"/>
          <w:szCs w:val="18"/>
        </w:rPr>
        <w:t>REPowerEU</w:t>
      </w:r>
      <w:proofErr w:type="spellEnd"/>
      <w:r w:rsidRPr="00C06E36">
        <w:rPr>
          <w:color w:val="000000"/>
          <w:sz w:val="18"/>
          <w:szCs w:val="18"/>
        </w:rPr>
        <w:t xml:space="preserve">” </w:t>
      </w:r>
      <w:proofErr w:type="spellStart"/>
      <w:r w:rsidRPr="00C06E36">
        <w:rPr>
          <w:color w:val="000000"/>
          <w:sz w:val="18"/>
          <w:szCs w:val="18"/>
        </w:rPr>
        <w:t>zamierza</w:t>
      </w:r>
      <w:proofErr w:type="spellEnd"/>
      <w:r w:rsidRPr="00C06E36">
        <w:rPr>
          <w:color w:val="000000"/>
          <w:sz w:val="18"/>
          <w:szCs w:val="18"/>
        </w:rPr>
        <w:t xml:space="preserve"> </w:t>
      </w:r>
      <w:proofErr w:type="spellStart"/>
      <w:r w:rsidRPr="00C06E36">
        <w:rPr>
          <w:color w:val="000000"/>
          <w:sz w:val="18"/>
          <w:szCs w:val="18"/>
        </w:rPr>
        <w:t>spieniężyć</w:t>
      </w:r>
      <w:proofErr w:type="spellEnd"/>
      <w:r w:rsidRPr="00C06E36">
        <w:rPr>
          <w:color w:val="000000"/>
          <w:sz w:val="18"/>
          <w:szCs w:val="18"/>
        </w:rPr>
        <w:t xml:space="preserve"> ok. 200 </w:t>
      </w:r>
      <w:proofErr w:type="spellStart"/>
      <w:r w:rsidRPr="00C06E36">
        <w:rPr>
          <w:color w:val="000000"/>
          <w:sz w:val="18"/>
          <w:szCs w:val="18"/>
        </w:rPr>
        <w:t>mln</w:t>
      </w:r>
      <w:proofErr w:type="spellEnd"/>
      <w:r w:rsidRPr="00C06E36">
        <w:rPr>
          <w:color w:val="000000"/>
          <w:sz w:val="18"/>
          <w:szCs w:val="18"/>
        </w:rPr>
        <w:t xml:space="preserve"> </w:t>
      </w:r>
      <w:proofErr w:type="spellStart"/>
      <w:r w:rsidRPr="00C06E36">
        <w:rPr>
          <w:color w:val="000000"/>
          <w:sz w:val="18"/>
          <w:szCs w:val="18"/>
        </w:rPr>
        <w:t>uprawnień</w:t>
      </w:r>
      <w:proofErr w:type="spellEnd"/>
      <w:r w:rsidRPr="00C06E36">
        <w:rPr>
          <w:color w:val="000000"/>
          <w:sz w:val="18"/>
          <w:szCs w:val="18"/>
        </w:rPr>
        <w:t xml:space="preserve"> do </w:t>
      </w:r>
      <w:proofErr w:type="spellStart"/>
      <w:r w:rsidRPr="00C06E36">
        <w:rPr>
          <w:color w:val="000000"/>
          <w:sz w:val="18"/>
          <w:szCs w:val="18"/>
        </w:rPr>
        <w:t>emisji</w:t>
      </w:r>
      <w:proofErr w:type="spellEnd"/>
      <w:r w:rsidRPr="00C06E36">
        <w:rPr>
          <w:color w:val="000000"/>
          <w:sz w:val="18"/>
          <w:szCs w:val="18"/>
        </w:rPr>
        <w:t xml:space="preserve"> </w:t>
      </w:r>
      <w:proofErr w:type="spellStart"/>
      <w:r w:rsidRPr="00C06E36">
        <w:rPr>
          <w:color w:val="000000"/>
          <w:sz w:val="18"/>
          <w:szCs w:val="18"/>
        </w:rPr>
        <w:t>znajdujących</w:t>
      </w:r>
      <w:proofErr w:type="spellEnd"/>
      <w:r w:rsidRPr="00C06E36">
        <w:rPr>
          <w:color w:val="000000"/>
          <w:sz w:val="18"/>
          <w:szCs w:val="18"/>
        </w:rPr>
        <w:t xml:space="preserve"> </w:t>
      </w:r>
      <w:proofErr w:type="spellStart"/>
      <w:r w:rsidRPr="00C06E36">
        <w:rPr>
          <w:color w:val="000000"/>
          <w:sz w:val="18"/>
          <w:szCs w:val="18"/>
        </w:rPr>
        <w:t>się</w:t>
      </w:r>
      <w:proofErr w:type="spellEnd"/>
      <w:r w:rsidRPr="00C06E36">
        <w:rPr>
          <w:color w:val="000000"/>
          <w:sz w:val="18"/>
          <w:szCs w:val="18"/>
        </w:rPr>
        <w:t xml:space="preserve"> w </w:t>
      </w:r>
      <w:proofErr w:type="spellStart"/>
      <w:r w:rsidRPr="00C06E36">
        <w:rPr>
          <w:color w:val="000000"/>
          <w:sz w:val="18"/>
          <w:szCs w:val="18"/>
        </w:rPr>
        <w:t>rezerwie</w:t>
      </w:r>
      <w:proofErr w:type="spellEnd"/>
      <w:r w:rsidRPr="00C06E36">
        <w:rPr>
          <w:color w:val="000000"/>
          <w:sz w:val="18"/>
          <w:szCs w:val="18"/>
        </w:rPr>
        <w:t xml:space="preserve"> MSR. </w:t>
      </w:r>
      <w:proofErr w:type="spellStart"/>
      <w:r w:rsidRPr="00C06E36">
        <w:rPr>
          <w:color w:val="000000"/>
          <w:sz w:val="18"/>
          <w:szCs w:val="18"/>
        </w:rPr>
        <w:t>Środki</w:t>
      </w:r>
      <w:proofErr w:type="spellEnd"/>
      <w:r w:rsidRPr="00C06E36">
        <w:rPr>
          <w:color w:val="000000"/>
          <w:sz w:val="18"/>
          <w:szCs w:val="18"/>
        </w:rPr>
        <w:t xml:space="preserve"> </w:t>
      </w:r>
      <w:proofErr w:type="spellStart"/>
      <w:r w:rsidRPr="00C06E36">
        <w:rPr>
          <w:color w:val="000000"/>
          <w:sz w:val="18"/>
          <w:szCs w:val="18"/>
        </w:rPr>
        <w:t>uzyskane</w:t>
      </w:r>
      <w:proofErr w:type="spellEnd"/>
      <w:r w:rsidRPr="00C06E36">
        <w:rPr>
          <w:color w:val="000000"/>
          <w:sz w:val="18"/>
          <w:szCs w:val="18"/>
        </w:rPr>
        <w:t xml:space="preserve"> </w:t>
      </w:r>
      <w:proofErr w:type="spellStart"/>
      <w:r w:rsidRPr="00C06E36">
        <w:rPr>
          <w:color w:val="000000"/>
          <w:sz w:val="18"/>
          <w:szCs w:val="18"/>
        </w:rPr>
        <w:t>ze</w:t>
      </w:r>
      <w:proofErr w:type="spellEnd"/>
      <w:r w:rsidRPr="00C06E36">
        <w:rPr>
          <w:color w:val="000000"/>
          <w:sz w:val="18"/>
          <w:szCs w:val="18"/>
        </w:rPr>
        <w:t xml:space="preserve"> </w:t>
      </w:r>
      <w:proofErr w:type="spellStart"/>
      <w:r w:rsidRPr="00C06E36">
        <w:rPr>
          <w:color w:val="000000"/>
          <w:sz w:val="18"/>
          <w:szCs w:val="18"/>
        </w:rPr>
        <w:t>sprzedaży</w:t>
      </w:r>
      <w:proofErr w:type="spellEnd"/>
      <w:r w:rsidRPr="00C06E36">
        <w:rPr>
          <w:color w:val="000000"/>
          <w:sz w:val="18"/>
          <w:szCs w:val="18"/>
        </w:rPr>
        <w:t xml:space="preserve"> </w:t>
      </w:r>
      <w:proofErr w:type="spellStart"/>
      <w:r w:rsidRPr="00C06E36">
        <w:rPr>
          <w:color w:val="000000"/>
          <w:sz w:val="18"/>
          <w:szCs w:val="18"/>
        </w:rPr>
        <w:t>uprawnień</w:t>
      </w:r>
      <w:proofErr w:type="spellEnd"/>
      <w:r w:rsidRPr="00C06E36">
        <w:rPr>
          <w:color w:val="000000"/>
          <w:sz w:val="18"/>
          <w:szCs w:val="18"/>
        </w:rPr>
        <w:t xml:space="preserve"> (ok. 20 </w:t>
      </w:r>
      <w:proofErr w:type="spellStart"/>
      <w:r w:rsidRPr="00C06E36">
        <w:rPr>
          <w:color w:val="000000"/>
          <w:sz w:val="18"/>
          <w:szCs w:val="18"/>
        </w:rPr>
        <w:t>mld</w:t>
      </w:r>
      <w:proofErr w:type="spellEnd"/>
      <w:r w:rsidRPr="00C06E36">
        <w:rPr>
          <w:color w:val="000000"/>
          <w:sz w:val="18"/>
          <w:szCs w:val="18"/>
        </w:rPr>
        <w:t xml:space="preserve"> EUR) </w:t>
      </w:r>
      <w:proofErr w:type="spellStart"/>
      <w:r w:rsidRPr="00C06E36">
        <w:rPr>
          <w:color w:val="000000"/>
          <w:sz w:val="18"/>
          <w:szCs w:val="18"/>
        </w:rPr>
        <w:t>mają</w:t>
      </w:r>
      <w:proofErr w:type="spellEnd"/>
      <w:r w:rsidRPr="00C06E36">
        <w:rPr>
          <w:color w:val="000000"/>
          <w:sz w:val="18"/>
          <w:szCs w:val="18"/>
        </w:rPr>
        <w:t xml:space="preserve"> </w:t>
      </w:r>
      <w:proofErr w:type="spellStart"/>
      <w:r w:rsidRPr="00C06E36">
        <w:rPr>
          <w:color w:val="000000"/>
          <w:sz w:val="18"/>
          <w:szCs w:val="18"/>
        </w:rPr>
        <w:t>zostać</w:t>
      </w:r>
      <w:proofErr w:type="spellEnd"/>
      <w:r w:rsidRPr="00C06E36">
        <w:rPr>
          <w:color w:val="000000"/>
          <w:sz w:val="18"/>
          <w:szCs w:val="18"/>
        </w:rPr>
        <w:t xml:space="preserve"> </w:t>
      </w:r>
      <w:proofErr w:type="spellStart"/>
      <w:r w:rsidRPr="00C06E36">
        <w:rPr>
          <w:color w:val="000000"/>
          <w:sz w:val="18"/>
          <w:szCs w:val="18"/>
        </w:rPr>
        <w:t>przekazane</w:t>
      </w:r>
      <w:proofErr w:type="spellEnd"/>
      <w:r w:rsidRPr="00C06E36">
        <w:rPr>
          <w:color w:val="000000"/>
          <w:sz w:val="18"/>
          <w:szCs w:val="18"/>
        </w:rPr>
        <w:t xml:space="preserve"> </w:t>
      </w:r>
      <w:proofErr w:type="spellStart"/>
      <w:r w:rsidRPr="00C06E36">
        <w:rPr>
          <w:color w:val="000000"/>
          <w:sz w:val="18"/>
          <w:szCs w:val="18"/>
        </w:rPr>
        <w:t>państwom</w:t>
      </w:r>
      <w:proofErr w:type="spellEnd"/>
      <w:r w:rsidRPr="00C06E36">
        <w:rPr>
          <w:color w:val="000000"/>
          <w:sz w:val="18"/>
          <w:szCs w:val="18"/>
        </w:rPr>
        <w:t xml:space="preserve"> </w:t>
      </w:r>
      <w:proofErr w:type="spellStart"/>
      <w:r w:rsidRPr="00C06E36">
        <w:rPr>
          <w:color w:val="000000"/>
          <w:sz w:val="18"/>
          <w:szCs w:val="18"/>
        </w:rPr>
        <w:t>czł</w:t>
      </w:r>
      <w:proofErr w:type="spellEnd"/>
      <w:r w:rsidRPr="00C06E36">
        <w:rPr>
          <w:color w:val="000000"/>
          <w:sz w:val="18"/>
          <w:szCs w:val="18"/>
        </w:rPr>
        <w:t xml:space="preserve">. w </w:t>
      </w:r>
      <w:proofErr w:type="spellStart"/>
      <w:r w:rsidRPr="00C06E36">
        <w:rPr>
          <w:color w:val="000000"/>
          <w:sz w:val="18"/>
          <w:szCs w:val="18"/>
        </w:rPr>
        <w:t>formie</w:t>
      </w:r>
      <w:proofErr w:type="spellEnd"/>
      <w:r w:rsidRPr="00C06E36">
        <w:rPr>
          <w:color w:val="000000"/>
          <w:sz w:val="18"/>
          <w:szCs w:val="18"/>
        </w:rPr>
        <w:t xml:space="preserve"> </w:t>
      </w:r>
      <w:proofErr w:type="spellStart"/>
      <w:r w:rsidRPr="00C06E36">
        <w:rPr>
          <w:color w:val="000000"/>
          <w:sz w:val="18"/>
          <w:szCs w:val="18"/>
        </w:rPr>
        <w:t>dotacji</w:t>
      </w:r>
      <w:proofErr w:type="spellEnd"/>
      <w:r>
        <w:rPr>
          <w:color w:val="000000"/>
          <w:sz w:val="18"/>
          <w:szCs w:val="18"/>
        </w:rPr>
        <w:t xml:space="preserve"> (</w:t>
      </w:r>
      <w:hyperlink r:id="rId3" w:history="1">
        <w:r w:rsidRPr="00336E3F">
          <w:rPr>
            <w:rStyle w:val="Hipercze"/>
            <w:sz w:val="18"/>
            <w:szCs w:val="18"/>
          </w:rPr>
          <w:t>https://ec.europa.eu/info/strategy/priorities-2019-2024/european-green-deal/repowereu-affordable-secure-and-sustainable-energy-europe_pl</w:t>
        </w:r>
      </w:hyperlink>
      <w:r>
        <w:rPr>
          <w:color w:val="000000"/>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362CB" w14:textId="77777777" w:rsidR="00522D0C" w:rsidRDefault="00522D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CBE27" w14:textId="77777777" w:rsidR="0064567B" w:rsidRDefault="00A15001" w:rsidP="00A63EC0">
    <w:pPr>
      <w:pStyle w:val="HeaderTitle"/>
    </w:pPr>
    <w:r>
      <w:rPr>
        <w:noProof/>
        <w:lang w:val="pl-PL" w:eastAsia="pl-PL"/>
      </w:rPr>
      <w:drawing>
        <wp:anchor distT="0" distB="0" distL="114300" distR="114300" simplePos="0" relativeHeight="251658240" behindDoc="1" locked="0" layoutInCell="1" allowOverlap="1" wp14:anchorId="1C85D87E" wp14:editId="55CF0874">
          <wp:simplePos x="0" y="0"/>
          <wp:positionH relativeFrom="page">
            <wp:posOffset>0</wp:posOffset>
          </wp:positionH>
          <wp:positionV relativeFrom="page">
            <wp:posOffset>0</wp:posOffset>
          </wp:positionV>
          <wp:extent cx="7538135" cy="1250722"/>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7538135" cy="125072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4332C" w14:textId="77777777" w:rsidR="00522D0C" w:rsidRDefault="00522D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55B"/>
    <w:multiLevelType w:val="hybridMultilevel"/>
    <w:tmpl w:val="CF708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2646FF"/>
    <w:multiLevelType w:val="hybridMultilevel"/>
    <w:tmpl w:val="DD2A3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8257A"/>
    <w:multiLevelType w:val="hybridMultilevel"/>
    <w:tmpl w:val="D7A67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F08F8"/>
    <w:multiLevelType w:val="hybridMultilevel"/>
    <w:tmpl w:val="815627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8B3000"/>
    <w:multiLevelType w:val="hybridMultilevel"/>
    <w:tmpl w:val="92FEB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F5F67"/>
    <w:multiLevelType w:val="hybridMultilevel"/>
    <w:tmpl w:val="45F8A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BB3566"/>
    <w:multiLevelType w:val="hybridMultilevel"/>
    <w:tmpl w:val="FE940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33EB1"/>
    <w:multiLevelType w:val="hybridMultilevel"/>
    <w:tmpl w:val="6988F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984EF8"/>
    <w:multiLevelType w:val="hybridMultilevel"/>
    <w:tmpl w:val="EE30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465184"/>
    <w:multiLevelType w:val="hybridMultilevel"/>
    <w:tmpl w:val="188C0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E442A5"/>
    <w:multiLevelType w:val="hybridMultilevel"/>
    <w:tmpl w:val="AACA8F68"/>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CB4435"/>
    <w:multiLevelType w:val="hybridMultilevel"/>
    <w:tmpl w:val="F2F8BF7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1D045BA1"/>
    <w:multiLevelType w:val="hybridMultilevel"/>
    <w:tmpl w:val="45FE9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C03198"/>
    <w:multiLevelType w:val="hybridMultilevel"/>
    <w:tmpl w:val="A5C2A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9E5677"/>
    <w:multiLevelType w:val="hybridMultilevel"/>
    <w:tmpl w:val="2A76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F159AB"/>
    <w:multiLevelType w:val="hybridMultilevel"/>
    <w:tmpl w:val="699CE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7A2A2B"/>
    <w:multiLevelType w:val="hybridMultilevel"/>
    <w:tmpl w:val="011E3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8369D1"/>
    <w:multiLevelType w:val="hybridMultilevel"/>
    <w:tmpl w:val="696A8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515585"/>
    <w:multiLevelType w:val="hybridMultilevel"/>
    <w:tmpl w:val="2D6E5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0530C1"/>
    <w:multiLevelType w:val="hybridMultilevel"/>
    <w:tmpl w:val="14F2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325D55"/>
    <w:multiLevelType w:val="hybridMultilevel"/>
    <w:tmpl w:val="AEEE8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E917D8"/>
    <w:multiLevelType w:val="hybridMultilevel"/>
    <w:tmpl w:val="D848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307B79"/>
    <w:multiLevelType w:val="hybridMultilevel"/>
    <w:tmpl w:val="3FF89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D355BA"/>
    <w:multiLevelType w:val="hybridMultilevel"/>
    <w:tmpl w:val="A0B26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2C349E"/>
    <w:multiLevelType w:val="hybridMultilevel"/>
    <w:tmpl w:val="C11615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9D73089"/>
    <w:multiLevelType w:val="hybridMultilevel"/>
    <w:tmpl w:val="87A8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327B23"/>
    <w:multiLevelType w:val="hybridMultilevel"/>
    <w:tmpl w:val="6CFA5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681113"/>
    <w:multiLevelType w:val="hybridMultilevel"/>
    <w:tmpl w:val="8A1CB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127691"/>
    <w:multiLevelType w:val="hybridMultilevel"/>
    <w:tmpl w:val="4412B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7F6173"/>
    <w:multiLevelType w:val="hybridMultilevel"/>
    <w:tmpl w:val="A998B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6E05DE"/>
    <w:multiLevelType w:val="hybridMultilevel"/>
    <w:tmpl w:val="B11C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113E67"/>
    <w:multiLevelType w:val="hybridMultilevel"/>
    <w:tmpl w:val="E6841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601C75"/>
    <w:multiLevelType w:val="hybridMultilevel"/>
    <w:tmpl w:val="B3929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613F53"/>
    <w:multiLevelType w:val="hybridMultilevel"/>
    <w:tmpl w:val="657A8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8574AB"/>
    <w:multiLevelType w:val="hybridMultilevel"/>
    <w:tmpl w:val="4B405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093183"/>
    <w:multiLevelType w:val="hybridMultilevel"/>
    <w:tmpl w:val="4EFC9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573055"/>
    <w:multiLevelType w:val="hybridMultilevel"/>
    <w:tmpl w:val="432A2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BD54E4"/>
    <w:multiLevelType w:val="hybridMultilevel"/>
    <w:tmpl w:val="F102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F80F1F"/>
    <w:multiLevelType w:val="hybridMultilevel"/>
    <w:tmpl w:val="88A25A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C237FE6"/>
    <w:multiLevelType w:val="hybridMultilevel"/>
    <w:tmpl w:val="ED86D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0E1FF6"/>
    <w:multiLevelType w:val="hybridMultilevel"/>
    <w:tmpl w:val="AAA62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D7F1F0A"/>
    <w:multiLevelType w:val="hybridMultilevel"/>
    <w:tmpl w:val="F3547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DFC52CE"/>
    <w:multiLevelType w:val="hybridMultilevel"/>
    <w:tmpl w:val="C65651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1070D77"/>
    <w:multiLevelType w:val="hybridMultilevel"/>
    <w:tmpl w:val="9A785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684D14D5"/>
    <w:multiLevelType w:val="hybridMultilevel"/>
    <w:tmpl w:val="B7B2A1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8AB356B"/>
    <w:multiLevelType w:val="hybridMultilevel"/>
    <w:tmpl w:val="EEE097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C53751D"/>
    <w:multiLevelType w:val="hybridMultilevel"/>
    <w:tmpl w:val="2F80C4E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D2550D"/>
    <w:multiLevelType w:val="hybridMultilevel"/>
    <w:tmpl w:val="178A5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E7A00DB"/>
    <w:multiLevelType w:val="hybridMultilevel"/>
    <w:tmpl w:val="A9EE8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A177F3"/>
    <w:multiLevelType w:val="hybridMultilevel"/>
    <w:tmpl w:val="CCEAD5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1C30A82"/>
    <w:multiLevelType w:val="hybridMultilevel"/>
    <w:tmpl w:val="7BBEB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28C356D"/>
    <w:multiLevelType w:val="hybridMultilevel"/>
    <w:tmpl w:val="5C50F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65D2257"/>
    <w:multiLevelType w:val="hybridMultilevel"/>
    <w:tmpl w:val="58145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D1439B3"/>
    <w:multiLevelType w:val="hybridMultilevel"/>
    <w:tmpl w:val="B2003D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F773C8A"/>
    <w:multiLevelType w:val="hybridMultilevel"/>
    <w:tmpl w:val="80C48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F941381"/>
    <w:multiLevelType w:val="hybridMultilevel"/>
    <w:tmpl w:val="CACA4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47"/>
  </w:num>
  <w:num w:numId="4">
    <w:abstractNumId w:val="33"/>
  </w:num>
  <w:num w:numId="5">
    <w:abstractNumId w:val="12"/>
  </w:num>
  <w:num w:numId="6">
    <w:abstractNumId w:val="37"/>
  </w:num>
  <w:num w:numId="7">
    <w:abstractNumId w:val="28"/>
  </w:num>
  <w:num w:numId="8">
    <w:abstractNumId w:val="48"/>
  </w:num>
  <w:num w:numId="9">
    <w:abstractNumId w:val="31"/>
  </w:num>
  <w:num w:numId="10">
    <w:abstractNumId w:val="18"/>
  </w:num>
  <w:num w:numId="11">
    <w:abstractNumId w:val="23"/>
  </w:num>
  <w:num w:numId="12">
    <w:abstractNumId w:val="15"/>
  </w:num>
  <w:num w:numId="13">
    <w:abstractNumId w:val="26"/>
  </w:num>
  <w:num w:numId="14">
    <w:abstractNumId w:val="6"/>
  </w:num>
  <w:num w:numId="15">
    <w:abstractNumId w:val="21"/>
  </w:num>
  <w:num w:numId="16">
    <w:abstractNumId w:val="36"/>
  </w:num>
  <w:num w:numId="17">
    <w:abstractNumId w:val="54"/>
  </w:num>
  <w:num w:numId="18">
    <w:abstractNumId w:val="7"/>
  </w:num>
  <w:num w:numId="19">
    <w:abstractNumId w:val="34"/>
  </w:num>
  <w:num w:numId="20">
    <w:abstractNumId w:val="2"/>
  </w:num>
  <w:num w:numId="21">
    <w:abstractNumId w:val="50"/>
  </w:num>
  <w:num w:numId="22">
    <w:abstractNumId w:val="32"/>
  </w:num>
  <w:num w:numId="23">
    <w:abstractNumId w:val="16"/>
  </w:num>
  <w:num w:numId="24">
    <w:abstractNumId w:val="39"/>
  </w:num>
  <w:num w:numId="25">
    <w:abstractNumId w:val="27"/>
  </w:num>
  <w:num w:numId="26">
    <w:abstractNumId w:val="17"/>
  </w:num>
  <w:num w:numId="27">
    <w:abstractNumId w:val="20"/>
  </w:num>
  <w:num w:numId="28">
    <w:abstractNumId w:val="25"/>
  </w:num>
  <w:num w:numId="29">
    <w:abstractNumId w:val="1"/>
  </w:num>
  <w:num w:numId="30">
    <w:abstractNumId w:val="55"/>
  </w:num>
  <w:num w:numId="31">
    <w:abstractNumId w:val="52"/>
  </w:num>
  <w:num w:numId="32">
    <w:abstractNumId w:val="45"/>
  </w:num>
  <w:num w:numId="33">
    <w:abstractNumId w:val="14"/>
  </w:num>
  <w:num w:numId="34">
    <w:abstractNumId w:val="5"/>
  </w:num>
  <w:num w:numId="35">
    <w:abstractNumId w:val="30"/>
  </w:num>
  <w:num w:numId="36">
    <w:abstractNumId w:val="9"/>
  </w:num>
  <w:num w:numId="37">
    <w:abstractNumId w:val="13"/>
  </w:num>
  <w:num w:numId="38">
    <w:abstractNumId w:val="4"/>
  </w:num>
  <w:num w:numId="39">
    <w:abstractNumId w:val="51"/>
  </w:num>
  <w:num w:numId="40">
    <w:abstractNumId w:val="35"/>
  </w:num>
  <w:num w:numId="41">
    <w:abstractNumId w:val="46"/>
  </w:num>
  <w:num w:numId="42">
    <w:abstractNumId w:val="0"/>
  </w:num>
  <w:num w:numId="43">
    <w:abstractNumId w:val="22"/>
  </w:num>
  <w:num w:numId="44">
    <w:abstractNumId w:val="42"/>
  </w:num>
  <w:num w:numId="45">
    <w:abstractNumId w:val="29"/>
  </w:num>
  <w:num w:numId="46">
    <w:abstractNumId w:val="49"/>
  </w:num>
  <w:num w:numId="47">
    <w:abstractNumId w:val="44"/>
  </w:num>
  <w:num w:numId="48">
    <w:abstractNumId w:val="24"/>
  </w:num>
  <w:num w:numId="49">
    <w:abstractNumId w:val="38"/>
  </w:num>
  <w:num w:numId="50">
    <w:abstractNumId w:val="3"/>
  </w:num>
  <w:num w:numId="51">
    <w:abstractNumId w:val="40"/>
  </w:num>
  <w:num w:numId="52">
    <w:abstractNumId w:val="11"/>
  </w:num>
  <w:num w:numId="53">
    <w:abstractNumId w:val="53"/>
  </w:num>
  <w:num w:numId="54">
    <w:abstractNumId w:val="43"/>
  </w:num>
  <w:num w:numId="55">
    <w:abstractNumId w:val="10"/>
  </w:num>
  <w:num w:numId="56">
    <w:abstractNumId w:val="4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6D0"/>
    <w:rsid w:val="00007894"/>
    <w:rsid w:val="00010505"/>
    <w:rsid w:val="000125F3"/>
    <w:rsid w:val="000127FD"/>
    <w:rsid w:val="0001314E"/>
    <w:rsid w:val="00052362"/>
    <w:rsid w:val="0007062B"/>
    <w:rsid w:val="000729AC"/>
    <w:rsid w:val="00083465"/>
    <w:rsid w:val="00097A2F"/>
    <w:rsid w:val="000D752E"/>
    <w:rsid w:val="00101E83"/>
    <w:rsid w:val="00182DB5"/>
    <w:rsid w:val="001958D7"/>
    <w:rsid w:val="001D0AC0"/>
    <w:rsid w:val="001D24FC"/>
    <w:rsid w:val="001F53F2"/>
    <w:rsid w:val="00204FB2"/>
    <w:rsid w:val="00276A21"/>
    <w:rsid w:val="00285B89"/>
    <w:rsid w:val="00290668"/>
    <w:rsid w:val="002B607B"/>
    <w:rsid w:val="002B7CBE"/>
    <w:rsid w:val="002C51EB"/>
    <w:rsid w:val="002D1AF2"/>
    <w:rsid w:val="002D7225"/>
    <w:rsid w:val="002E0BE4"/>
    <w:rsid w:val="00347BF9"/>
    <w:rsid w:val="0035441F"/>
    <w:rsid w:val="0036627F"/>
    <w:rsid w:val="00391462"/>
    <w:rsid w:val="003A254E"/>
    <w:rsid w:val="003B1DA8"/>
    <w:rsid w:val="003D0830"/>
    <w:rsid w:val="003F1554"/>
    <w:rsid w:val="004024BF"/>
    <w:rsid w:val="00410DFA"/>
    <w:rsid w:val="00427597"/>
    <w:rsid w:val="00430775"/>
    <w:rsid w:val="00447FD4"/>
    <w:rsid w:val="00465154"/>
    <w:rsid w:val="00474D1C"/>
    <w:rsid w:val="004953D2"/>
    <w:rsid w:val="004A6403"/>
    <w:rsid w:val="004C06E5"/>
    <w:rsid w:val="004E6D67"/>
    <w:rsid w:val="00522D0C"/>
    <w:rsid w:val="00522D83"/>
    <w:rsid w:val="005278CF"/>
    <w:rsid w:val="00534D6B"/>
    <w:rsid w:val="00562477"/>
    <w:rsid w:val="00562694"/>
    <w:rsid w:val="00575344"/>
    <w:rsid w:val="005A11D4"/>
    <w:rsid w:val="005C5BC9"/>
    <w:rsid w:val="005C6688"/>
    <w:rsid w:val="005D11D6"/>
    <w:rsid w:val="005D13EA"/>
    <w:rsid w:val="005D3660"/>
    <w:rsid w:val="005F1C15"/>
    <w:rsid w:val="006015DF"/>
    <w:rsid w:val="00631B72"/>
    <w:rsid w:val="0064567B"/>
    <w:rsid w:val="00670BE4"/>
    <w:rsid w:val="006C36D0"/>
    <w:rsid w:val="006C4D14"/>
    <w:rsid w:val="006D1F76"/>
    <w:rsid w:val="006E60B0"/>
    <w:rsid w:val="00701769"/>
    <w:rsid w:val="007136FD"/>
    <w:rsid w:val="00714C9B"/>
    <w:rsid w:val="007163EB"/>
    <w:rsid w:val="0073446C"/>
    <w:rsid w:val="00736598"/>
    <w:rsid w:val="007428DF"/>
    <w:rsid w:val="00751E99"/>
    <w:rsid w:val="007562E4"/>
    <w:rsid w:val="00783424"/>
    <w:rsid w:val="007E1966"/>
    <w:rsid w:val="007F0698"/>
    <w:rsid w:val="0080586C"/>
    <w:rsid w:val="008076C7"/>
    <w:rsid w:val="00831E6F"/>
    <w:rsid w:val="008A0694"/>
    <w:rsid w:val="008A316F"/>
    <w:rsid w:val="008E13E2"/>
    <w:rsid w:val="008E24BB"/>
    <w:rsid w:val="008F6606"/>
    <w:rsid w:val="008F6D62"/>
    <w:rsid w:val="00970ED1"/>
    <w:rsid w:val="00982EDD"/>
    <w:rsid w:val="009941DD"/>
    <w:rsid w:val="009A02B7"/>
    <w:rsid w:val="009A2E5B"/>
    <w:rsid w:val="009A7600"/>
    <w:rsid w:val="009B445D"/>
    <w:rsid w:val="009C5C25"/>
    <w:rsid w:val="009C64AA"/>
    <w:rsid w:val="009C7B88"/>
    <w:rsid w:val="009E2381"/>
    <w:rsid w:val="00A13978"/>
    <w:rsid w:val="00A15001"/>
    <w:rsid w:val="00A2283D"/>
    <w:rsid w:val="00A46C0E"/>
    <w:rsid w:val="00A63EC0"/>
    <w:rsid w:val="00A73842"/>
    <w:rsid w:val="00A8395F"/>
    <w:rsid w:val="00A83DF1"/>
    <w:rsid w:val="00A955A7"/>
    <w:rsid w:val="00AD5B43"/>
    <w:rsid w:val="00AE2CAD"/>
    <w:rsid w:val="00B0087E"/>
    <w:rsid w:val="00B07FD7"/>
    <w:rsid w:val="00B249FA"/>
    <w:rsid w:val="00B378FC"/>
    <w:rsid w:val="00B74040"/>
    <w:rsid w:val="00B75A5E"/>
    <w:rsid w:val="00B75B5C"/>
    <w:rsid w:val="00B82F7A"/>
    <w:rsid w:val="00B8355A"/>
    <w:rsid w:val="00BA3FD9"/>
    <w:rsid w:val="00BA6BD0"/>
    <w:rsid w:val="00BB0030"/>
    <w:rsid w:val="00BB6633"/>
    <w:rsid w:val="00BC0080"/>
    <w:rsid w:val="00BE4395"/>
    <w:rsid w:val="00C015DD"/>
    <w:rsid w:val="00C35F6A"/>
    <w:rsid w:val="00C36446"/>
    <w:rsid w:val="00C41ADD"/>
    <w:rsid w:val="00C64F4D"/>
    <w:rsid w:val="00C70A1F"/>
    <w:rsid w:val="00C77C6E"/>
    <w:rsid w:val="00C94222"/>
    <w:rsid w:val="00CA66E3"/>
    <w:rsid w:val="00CE0592"/>
    <w:rsid w:val="00CF073A"/>
    <w:rsid w:val="00CF46D5"/>
    <w:rsid w:val="00D05555"/>
    <w:rsid w:val="00D47B49"/>
    <w:rsid w:val="00DB2488"/>
    <w:rsid w:val="00DD61ED"/>
    <w:rsid w:val="00DE30F8"/>
    <w:rsid w:val="00DE460B"/>
    <w:rsid w:val="00E152D0"/>
    <w:rsid w:val="00E84976"/>
    <w:rsid w:val="00E8790C"/>
    <w:rsid w:val="00E95028"/>
    <w:rsid w:val="00EA054C"/>
    <w:rsid w:val="00EA736F"/>
    <w:rsid w:val="00EB7156"/>
    <w:rsid w:val="00ED1604"/>
    <w:rsid w:val="00F30DFB"/>
    <w:rsid w:val="00F32AB3"/>
    <w:rsid w:val="00F34D14"/>
    <w:rsid w:val="00F518B3"/>
    <w:rsid w:val="00F637D0"/>
    <w:rsid w:val="00F71EE6"/>
    <w:rsid w:val="00FB5DE6"/>
    <w:rsid w:val="00FC2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D1F56"/>
  <w15:chartTrackingRefBased/>
  <w15:docId w15:val="{E36AF222-1082-4503-8DBF-74C9F48D2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06E5"/>
    <w:pPr>
      <w:spacing w:after="180" w:line="300" w:lineRule="exact"/>
    </w:pPr>
    <w:rPr>
      <w:color w:val="0D004B" w:themeColor="text1"/>
      <w:sz w:val="21"/>
      <w:szCs w:val="20"/>
    </w:rPr>
  </w:style>
  <w:style w:type="paragraph" w:styleId="Nagwek1">
    <w:name w:val="heading 1"/>
    <w:basedOn w:val="Normalny"/>
    <w:next w:val="Normalny"/>
    <w:link w:val="Nagwek1Znak"/>
    <w:uiPriority w:val="9"/>
    <w:qFormat/>
    <w:rsid w:val="00A15001"/>
    <w:pPr>
      <w:spacing w:line="216" w:lineRule="auto"/>
      <w:outlineLvl w:val="0"/>
    </w:pPr>
    <w:rPr>
      <w:bCs/>
      <w:color w:val="50A4D2" w:themeColor="text2"/>
      <w:sz w:val="48"/>
    </w:rPr>
  </w:style>
  <w:style w:type="paragraph" w:styleId="Nagwek2">
    <w:name w:val="heading 2"/>
    <w:basedOn w:val="Normalny"/>
    <w:next w:val="Normalny"/>
    <w:link w:val="Nagwek2Znak"/>
    <w:uiPriority w:val="9"/>
    <w:unhideWhenUsed/>
    <w:qFormat/>
    <w:rsid w:val="004C06E5"/>
    <w:pPr>
      <w:keepNext/>
      <w:keepLines/>
      <w:spacing w:before="480" w:after="120" w:line="400" w:lineRule="exact"/>
      <w:outlineLvl w:val="1"/>
    </w:pPr>
    <w:rPr>
      <w:rFonts w:asciiTheme="majorHAnsi" w:eastAsiaTheme="majorEastAsia" w:hAnsiTheme="majorHAnsi" w:cstheme="majorBidi"/>
      <w:color w:val="61BE46" w:themeColor="accent2"/>
      <w:sz w:val="36"/>
      <w:szCs w:val="30"/>
    </w:rPr>
  </w:style>
  <w:style w:type="paragraph" w:styleId="Nagwek3">
    <w:name w:val="heading 3"/>
    <w:basedOn w:val="Normalny"/>
    <w:next w:val="Normalny"/>
    <w:link w:val="Nagwek3Znak"/>
    <w:uiPriority w:val="9"/>
    <w:unhideWhenUsed/>
    <w:qFormat/>
    <w:rsid w:val="004C06E5"/>
    <w:pPr>
      <w:keepNext/>
      <w:keepLines/>
      <w:spacing w:before="180" w:after="0" w:line="259" w:lineRule="auto"/>
      <w:outlineLvl w:val="2"/>
    </w:pPr>
    <w:rPr>
      <w:rFonts w:asciiTheme="majorHAnsi" w:eastAsiaTheme="majorEastAsia" w:hAnsiTheme="majorHAnsi" w:cstheme="majorBidi"/>
      <w:b/>
      <w:color w:val="0064AC" w:themeColor="accent1"/>
      <w:sz w:val="28"/>
      <w:szCs w:val="24"/>
    </w:rPr>
  </w:style>
  <w:style w:type="paragraph" w:styleId="Nagwek4">
    <w:name w:val="heading 4"/>
    <w:basedOn w:val="Normalny"/>
    <w:next w:val="Normalny"/>
    <w:link w:val="Nagwek4Znak"/>
    <w:uiPriority w:val="9"/>
    <w:unhideWhenUsed/>
    <w:qFormat/>
    <w:rsid w:val="00A83DF1"/>
    <w:pPr>
      <w:keepNext/>
      <w:keepLines/>
      <w:spacing w:before="120" w:after="0" w:line="259" w:lineRule="auto"/>
      <w:outlineLvl w:val="3"/>
    </w:pPr>
    <w:rPr>
      <w:rFonts w:asciiTheme="majorHAnsi" w:eastAsiaTheme="majorEastAsia" w:hAnsiTheme="majorHAnsi" w:cs="Times New Roman (Headings CS)"/>
      <w:b/>
      <w:iCs/>
      <w:caps/>
    </w:rPr>
  </w:style>
  <w:style w:type="paragraph" w:styleId="Nagwek5">
    <w:name w:val="heading 5"/>
    <w:basedOn w:val="Normalny"/>
    <w:next w:val="Normalny"/>
    <w:link w:val="Nagwek5Znak"/>
    <w:uiPriority w:val="9"/>
    <w:semiHidden/>
    <w:unhideWhenUsed/>
    <w:rsid w:val="0035441F"/>
    <w:pPr>
      <w:keepNext/>
      <w:keepLines/>
      <w:spacing w:before="40" w:after="0" w:line="259" w:lineRule="auto"/>
      <w:outlineLvl w:val="4"/>
    </w:pPr>
    <w:rPr>
      <w:rFonts w:asciiTheme="majorHAnsi" w:eastAsiaTheme="majorEastAsia" w:hAnsiTheme="majorHAnsi" w:cstheme="majorBidi"/>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5441F"/>
    <w:rPr>
      <w:b/>
      <w:bCs/>
    </w:rPr>
  </w:style>
  <w:style w:type="paragraph" w:styleId="Podtytu">
    <w:name w:val="Subtitle"/>
    <w:basedOn w:val="Normalny"/>
    <w:next w:val="Normalny"/>
    <w:link w:val="PodtytuZnak"/>
    <w:uiPriority w:val="11"/>
    <w:rsid w:val="0035441F"/>
    <w:pPr>
      <w:numPr>
        <w:ilvl w:val="1"/>
      </w:numPr>
      <w:spacing w:after="160"/>
    </w:pPr>
    <w:rPr>
      <w:rFonts w:eastAsiaTheme="minorEastAsia" w:cs="Times New Roman (Body CS)"/>
      <w:sz w:val="22"/>
      <w:szCs w:val="22"/>
    </w:rPr>
  </w:style>
  <w:style w:type="paragraph" w:styleId="Stopka">
    <w:name w:val="footer"/>
    <w:basedOn w:val="Normalny"/>
    <w:link w:val="StopkaZnak"/>
    <w:uiPriority w:val="99"/>
    <w:unhideWhenUsed/>
    <w:rsid w:val="00A15001"/>
    <w:pPr>
      <w:spacing w:line="200" w:lineRule="exact"/>
    </w:pPr>
    <w:rPr>
      <w:noProof/>
      <w:sz w:val="12"/>
    </w:rPr>
  </w:style>
  <w:style w:type="character" w:customStyle="1" w:styleId="StopkaZnak">
    <w:name w:val="Stopka Znak"/>
    <w:basedOn w:val="Domylnaczcionkaakapitu"/>
    <w:link w:val="Stopka"/>
    <w:uiPriority w:val="99"/>
    <w:rsid w:val="00A15001"/>
    <w:rPr>
      <w:noProof/>
      <w:sz w:val="12"/>
      <w:szCs w:val="20"/>
      <w:lang w:val="en-US"/>
    </w:rPr>
  </w:style>
  <w:style w:type="character" w:customStyle="1" w:styleId="Nagwek1Znak">
    <w:name w:val="Nagłówek 1 Znak"/>
    <w:basedOn w:val="Domylnaczcionkaakapitu"/>
    <w:link w:val="Nagwek1"/>
    <w:uiPriority w:val="9"/>
    <w:rsid w:val="00A15001"/>
    <w:rPr>
      <w:bCs/>
      <w:color w:val="50A4D2" w:themeColor="text2"/>
      <w:sz w:val="48"/>
      <w:szCs w:val="20"/>
      <w:lang w:val="en-US"/>
    </w:rPr>
  </w:style>
  <w:style w:type="character" w:customStyle="1" w:styleId="Nagwek2Znak">
    <w:name w:val="Nagłówek 2 Znak"/>
    <w:basedOn w:val="Domylnaczcionkaakapitu"/>
    <w:link w:val="Nagwek2"/>
    <w:uiPriority w:val="9"/>
    <w:rsid w:val="004C06E5"/>
    <w:rPr>
      <w:rFonts w:asciiTheme="majorHAnsi" w:eastAsiaTheme="majorEastAsia" w:hAnsiTheme="majorHAnsi" w:cstheme="majorBidi"/>
      <w:color w:val="61BE46" w:themeColor="accent2"/>
      <w:sz w:val="36"/>
      <w:szCs w:val="30"/>
      <w:lang w:val="en-US"/>
    </w:rPr>
  </w:style>
  <w:style w:type="paragraph" w:customStyle="1" w:styleId="HeadingCoverpageDate">
    <w:name w:val="Heading Cover page Date"/>
    <w:basedOn w:val="Normalny"/>
    <w:rsid w:val="00831E6F"/>
    <w:pPr>
      <w:spacing w:before="600" w:line="240" w:lineRule="auto"/>
      <w:ind w:left="-794"/>
    </w:pPr>
    <w:rPr>
      <w:noProof/>
      <w:sz w:val="28"/>
      <w:szCs w:val="28"/>
    </w:rPr>
  </w:style>
  <w:style w:type="character" w:styleId="Numerstrony">
    <w:name w:val="page number"/>
    <w:basedOn w:val="Domylnaczcionkaakapitu"/>
    <w:uiPriority w:val="99"/>
    <w:semiHidden/>
    <w:unhideWhenUsed/>
    <w:rsid w:val="00562694"/>
    <w:rPr>
      <w:rFonts w:asciiTheme="minorHAnsi" w:hAnsiTheme="minorHAnsi"/>
      <w:color w:val="0D004B" w:themeColor="text1"/>
      <w:sz w:val="15"/>
    </w:rPr>
  </w:style>
  <w:style w:type="paragraph" w:styleId="Akapitzlist">
    <w:name w:val="List Paragraph"/>
    <w:basedOn w:val="Normalny"/>
    <w:uiPriority w:val="34"/>
    <w:qFormat/>
    <w:rsid w:val="00097A2F"/>
    <w:pPr>
      <w:ind w:left="720"/>
      <w:contextualSpacing/>
    </w:pPr>
  </w:style>
  <w:style w:type="paragraph" w:customStyle="1" w:styleId="HeadingCoverpage">
    <w:name w:val="Heading Cover page"/>
    <w:basedOn w:val="Normalny"/>
    <w:rsid w:val="00831E6F"/>
    <w:pPr>
      <w:spacing w:before="600" w:line="240" w:lineRule="auto"/>
      <w:ind w:left="-794"/>
    </w:pPr>
    <w:rPr>
      <w:noProof/>
      <w:sz w:val="64"/>
      <w:szCs w:val="64"/>
    </w:rPr>
  </w:style>
  <w:style w:type="paragraph" w:styleId="Tekstdymka">
    <w:name w:val="Balloon Text"/>
    <w:basedOn w:val="Normalny"/>
    <w:link w:val="TekstdymkaZnak"/>
    <w:uiPriority w:val="99"/>
    <w:semiHidden/>
    <w:unhideWhenUsed/>
    <w:rsid w:val="00DE460B"/>
    <w:pPr>
      <w:spacing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DE460B"/>
    <w:rPr>
      <w:rFonts w:ascii="Times New Roman" w:hAnsi="Times New Roman" w:cs="Times New Roman"/>
      <w:sz w:val="18"/>
      <w:szCs w:val="18"/>
      <w:lang w:val="en-US"/>
    </w:rPr>
  </w:style>
  <w:style w:type="character" w:customStyle="1" w:styleId="Nagwek3Znak">
    <w:name w:val="Nagłówek 3 Znak"/>
    <w:basedOn w:val="Domylnaczcionkaakapitu"/>
    <w:link w:val="Nagwek3"/>
    <w:uiPriority w:val="9"/>
    <w:rsid w:val="004C06E5"/>
    <w:rPr>
      <w:rFonts w:asciiTheme="majorHAnsi" w:eastAsiaTheme="majorEastAsia" w:hAnsiTheme="majorHAnsi" w:cstheme="majorBidi"/>
      <w:b/>
      <w:color w:val="0064AC" w:themeColor="accent1"/>
      <w:sz w:val="28"/>
      <w:lang w:val="en-US"/>
    </w:rPr>
  </w:style>
  <w:style w:type="paragraph" w:styleId="Nagwekspisutreci">
    <w:name w:val="TOC Heading"/>
    <w:basedOn w:val="Nagwek1"/>
    <w:next w:val="Normalny"/>
    <w:uiPriority w:val="39"/>
    <w:unhideWhenUsed/>
    <w:rsid w:val="005A11D4"/>
    <w:pPr>
      <w:keepNext/>
      <w:keepLines/>
      <w:spacing w:before="240" w:line="259" w:lineRule="auto"/>
      <w:outlineLvl w:val="9"/>
    </w:pPr>
    <w:rPr>
      <w:rFonts w:asciiTheme="majorHAnsi" w:eastAsiaTheme="majorEastAsia" w:hAnsiTheme="majorHAnsi" w:cstheme="majorBidi"/>
      <w:bCs w:val="0"/>
      <w:color w:val="0D004B" w:themeColor="text1"/>
      <w:sz w:val="32"/>
      <w:szCs w:val="32"/>
    </w:rPr>
  </w:style>
  <w:style w:type="paragraph" w:styleId="Spistreci1">
    <w:name w:val="toc 1"/>
    <w:basedOn w:val="Normalny"/>
    <w:next w:val="Normalny"/>
    <w:autoRedefine/>
    <w:uiPriority w:val="39"/>
    <w:unhideWhenUsed/>
    <w:rsid w:val="00701769"/>
    <w:pPr>
      <w:tabs>
        <w:tab w:val="right" w:leader="underscore" w:pos="9350"/>
      </w:tabs>
      <w:spacing w:before="120" w:after="0" w:line="259" w:lineRule="auto"/>
    </w:pPr>
    <w:rPr>
      <w:b/>
      <w:sz w:val="18"/>
      <w:szCs w:val="22"/>
    </w:rPr>
  </w:style>
  <w:style w:type="character" w:styleId="Hipercze">
    <w:name w:val="Hyperlink"/>
    <w:basedOn w:val="Domylnaczcionkaakapitu"/>
    <w:uiPriority w:val="99"/>
    <w:unhideWhenUsed/>
    <w:rsid w:val="0035441F"/>
    <w:rPr>
      <w:color w:val="50A4D2" w:themeColor="text2"/>
      <w:u w:val="single"/>
    </w:rPr>
  </w:style>
  <w:style w:type="paragraph" w:styleId="Spistreci2">
    <w:name w:val="toc 2"/>
    <w:basedOn w:val="Normalny"/>
    <w:next w:val="Normalny"/>
    <w:autoRedefine/>
    <w:uiPriority w:val="39"/>
    <w:unhideWhenUsed/>
    <w:rsid w:val="007562E4"/>
    <w:pPr>
      <w:tabs>
        <w:tab w:val="right" w:leader="dot" w:pos="9350"/>
      </w:tabs>
      <w:spacing w:before="120" w:after="0" w:line="259" w:lineRule="auto"/>
      <w:ind w:left="221"/>
    </w:pPr>
    <w:rPr>
      <w:rFonts w:eastAsiaTheme="minorEastAsia" w:cs="Times New Roman"/>
      <w:sz w:val="18"/>
      <w:szCs w:val="22"/>
    </w:rPr>
  </w:style>
  <w:style w:type="paragraph" w:styleId="Spistreci3">
    <w:name w:val="toc 3"/>
    <w:basedOn w:val="Normalny"/>
    <w:next w:val="Normalny"/>
    <w:autoRedefine/>
    <w:uiPriority w:val="39"/>
    <w:unhideWhenUsed/>
    <w:rsid w:val="007562E4"/>
    <w:pPr>
      <w:tabs>
        <w:tab w:val="right" w:leader="dot" w:pos="9350"/>
      </w:tabs>
      <w:spacing w:after="0" w:line="259" w:lineRule="auto"/>
      <w:ind w:left="442"/>
    </w:pPr>
    <w:rPr>
      <w:rFonts w:eastAsiaTheme="minorEastAsia" w:cs="Times New Roman"/>
      <w:sz w:val="18"/>
      <w:szCs w:val="22"/>
    </w:rPr>
  </w:style>
  <w:style w:type="character" w:customStyle="1" w:styleId="Nagwek4Znak">
    <w:name w:val="Nagłówek 4 Znak"/>
    <w:basedOn w:val="Domylnaczcionkaakapitu"/>
    <w:link w:val="Nagwek4"/>
    <w:uiPriority w:val="9"/>
    <w:rsid w:val="00A83DF1"/>
    <w:rPr>
      <w:rFonts w:asciiTheme="majorHAnsi" w:eastAsiaTheme="majorEastAsia" w:hAnsiTheme="majorHAnsi" w:cs="Times New Roman (Headings CS)"/>
      <w:b/>
      <w:iCs/>
      <w:caps/>
      <w:color w:val="0D004B" w:themeColor="text1"/>
      <w:sz w:val="20"/>
      <w:szCs w:val="20"/>
      <w:lang w:val="en-US"/>
    </w:rPr>
  </w:style>
  <w:style w:type="character" w:styleId="Wyrnieniedelikatne">
    <w:name w:val="Subtle Emphasis"/>
    <w:basedOn w:val="Domylnaczcionkaakapitu"/>
    <w:uiPriority w:val="19"/>
    <w:rsid w:val="0080586C"/>
    <w:rPr>
      <w:i w:val="0"/>
      <w:iCs/>
      <w:color w:val="E1EEFA" w:themeColor="accent5"/>
    </w:rPr>
  </w:style>
  <w:style w:type="table" w:styleId="Tabela-Siatka">
    <w:name w:val="Table Grid"/>
    <w:basedOn w:val="Standardowy"/>
    <w:uiPriority w:val="39"/>
    <w:rsid w:val="00474D1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rsid w:val="00474D1C"/>
    <w:rPr>
      <w:rFonts w:eastAsiaTheme="minorEastAsia"/>
      <w:sz w:val="22"/>
      <w:szCs w:val="22"/>
    </w:rPr>
  </w:style>
  <w:style w:type="character" w:customStyle="1" w:styleId="BezodstpwZnak">
    <w:name w:val="Bez odstępów Znak"/>
    <w:basedOn w:val="Domylnaczcionkaakapitu"/>
    <w:link w:val="Bezodstpw"/>
    <w:uiPriority w:val="1"/>
    <w:rsid w:val="00474D1C"/>
    <w:rPr>
      <w:rFonts w:eastAsiaTheme="minorEastAsia"/>
      <w:sz w:val="22"/>
      <w:szCs w:val="22"/>
      <w:lang w:val="en-US"/>
    </w:rPr>
  </w:style>
  <w:style w:type="character" w:styleId="Odwoaniedokomentarza">
    <w:name w:val="annotation reference"/>
    <w:basedOn w:val="Domylnaczcionkaakapitu"/>
    <w:uiPriority w:val="99"/>
    <w:semiHidden/>
    <w:unhideWhenUsed/>
    <w:rsid w:val="00474D1C"/>
    <w:rPr>
      <w:sz w:val="16"/>
      <w:szCs w:val="16"/>
    </w:rPr>
  </w:style>
  <w:style w:type="paragraph" w:styleId="Tekstkomentarza">
    <w:name w:val="annotation text"/>
    <w:basedOn w:val="Normalny"/>
    <w:link w:val="TekstkomentarzaZnak"/>
    <w:uiPriority w:val="99"/>
    <w:unhideWhenUsed/>
    <w:rsid w:val="00474D1C"/>
    <w:pPr>
      <w:spacing w:after="160" w:line="240" w:lineRule="auto"/>
    </w:pPr>
  </w:style>
  <w:style w:type="character" w:customStyle="1" w:styleId="TekstkomentarzaZnak">
    <w:name w:val="Tekst komentarza Znak"/>
    <w:basedOn w:val="Domylnaczcionkaakapitu"/>
    <w:link w:val="Tekstkomentarza"/>
    <w:uiPriority w:val="99"/>
    <w:rsid w:val="00474D1C"/>
    <w:rPr>
      <w:sz w:val="20"/>
      <w:szCs w:val="20"/>
      <w:lang w:val="en-US"/>
    </w:rPr>
  </w:style>
  <w:style w:type="paragraph" w:styleId="Tematkomentarza">
    <w:name w:val="annotation subject"/>
    <w:basedOn w:val="Tekstkomentarza"/>
    <w:next w:val="Tekstkomentarza"/>
    <w:link w:val="TematkomentarzaZnak"/>
    <w:uiPriority w:val="99"/>
    <w:semiHidden/>
    <w:unhideWhenUsed/>
    <w:rsid w:val="00474D1C"/>
    <w:rPr>
      <w:b/>
      <w:bCs/>
    </w:rPr>
  </w:style>
  <w:style w:type="character" w:customStyle="1" w:styleId="TematkomentarzaZnak">
    <w:name w:val="Temat komentarza Znak"/>
    <w:basedOn w:val="TekstkomentarzaZnak"/>
    <w:link w:val="Tematkomentarza"/>
    <w:uiPriority w:val="99"/>
    <w:semiHidden/>
    <w:rsid w:val="00474D1C"/>
    <w:rPr>
      <w:b/>
      <w:bCs/>
      <w:sz w:val="20"/>
      <w:szCs w:val="20"/>
      <w:lang w:val="en-US"/>
    </w:rPr>
  </w:style>
  <w:style w:type="paragraph" w:styleId="Poprawka">
    <w:name w:val="Revision"/>
    <w:hidden/>
    <w:uiPriority w:val="99"/>
    <w:semiHidden/>
    <w:rsid w:val="00474D1C"/>
    <w:rPr>
      <w:sz w:val="22"/>
      <w:szCs w:val="22"/>
    </w:rPr>
  </w:style>
  <w:style w:type="paragraph" w:customStyle="1" w:styleId="HeaderTitle">
    <w:name w:val="Header Title"/>
    <w:basedOn w:val="Normalny"/>
    <w:rsid w:val="00A15001"/>
    <w:pPr>
      <w:tabs>
        <w:tab w:val="center" w:pos="4513"/>
        <w:tab w:val="right" w:pos="9026"/>
      </w:tabs>
    </w:pPr>
    <w:rPr>
      <w:rFonts w:cs="Times New Roman (Body CS)"/>
    </w:rPr>
  </w:style>
  <w:style w:type="paragraph" w:customStyle="1" w:styleId="TableHeader">
    <w:name w:val="Table Header"/>
    <w:basedOn w:val="Normalny"/>
    <w:rsid w:val="00714C9B"/>
    <w:pPr>
      <w:spacing w:after="0" w:line="216" w:lineRule="auto"/>
      <w:jc w:val="center"/>
    </w:pPr>
    <w:rPr>
      <w:color w:val="FFFFFF" w:themeColor="background1"/>
      <w:sz w:val="18"/>
    </w:rPr>
  </w:style>
  <w:style w:type="paragraph" w:customStyle="1" w:styleId="TableContent">
    <w:name w:val="Table Content"/>
    <w:basedOn w:val="Normalny"/>
    <w:rsid w:val="00714C9B"/>
    <w:pPr>
      <w:spacing w:after="0" w:line="259" w:lineRule="auto"/>
    </w:pPr>
    <w:rPr>
      <w:sz w:val="18"/>
    </w:rPr>
  </w:style>
  <w:style w:type="character" w:customStyle="1" w:styleId="PodtytuZnak">
    <w:name w:val="Podtytuł Znak"/>
    <w:basedOn w:val="Domylnaczcionkaakapitu"/>
    <w:link w:val="Podtytu"/>
    <w:uiPriority w:val="11"/>
    <w:rsid w:val="0035441F"/>
    <w:rPr>
      <w:rFonts w:eastAsiaTheme="minorEastAsia" w:cs="Times New Roman (Body CS)"/>
      <w:color w:val="0D004B" w:themeColor="text1"/>
      <w:sz w:val="22"/>
      <w:szCs w:val="22"/>
      <w:lang w:val="en-US"/>
    </w:rPr>
  </w:style>
  <w:style w:type="character" w:customStyle="1" w:styleId="Nagwek5Znak">
    <w:name w:val="Nagłówek 5 Znak"/>
    <w:basedOn w:val="Domylnaczcionkaakapitu"/>
    <w:link w:val="Nagwek5"/>
    <w:uiPriority w:val="9"/>
    <w:semiHidden/>
    <w:rsid w:val="0035441F"/>
    <w:rPr>
      <w:rFonts w:asciiTheme="majorHAnsi" w:eastAsiaTheme="majorEastAsia" w:hAnsiTheme="majorHAnsi" w:cstheme="majorBidi"/>
      <w:b/>
      <w:color w:val="0D004B" w:themeColor="text1"/>
      <w:sz w:val="20"/>
      <w:szCs w:val="20"/>
      <w:lang w:val="en-US"/>
    </w:rPr>
  </w:style>
  <w:style w:type="character" w:styleId="Uwydatnienie">
    <w:name w:val="Emphasis"/>
    <w:basedOn w:val="Domylnaczcionkaakapitu"/>
    <w:uiPriority w:val="20"/>
    <w:qFormat/>
    <w:rsid w:val="0080586C"/>
    <w:rPr>
      <w:b/>
      <w:i w:val="0"/>
      <w:iCs/>
      <w:color w:val="50A4D2" w:themeColor="text2"/>
    </w:rPr>
  </w:style>
  <w:style w:type="character" w:styleId="Wyrnienieintensywne">
    <w:name w:val="Intense Emphasis"/>
    <w:basedOn w:val="Domylnaczcionkaakapitu"/>
    <w:uiPriority w:val="21"/>
    <w:qFormat/>
    <w:rsid w:val="0080586C"/>
    <w:rPr>
      <w:b/>
      <w:i w:val="0"/>
      <w:iCs/>
      <w:color w:val="AAD79B" w:themeColor="accent4"/>
    </w:rPr>
  </w:style>
  <w:style w:type="paragraph" w:styleId="Cytat">
    <w:name w:val="Quote"/>
    <w:basedOn w:val="Normalny"/>
    <w:next w:val="Normalny"/>
    <w:link w:val="CytatZnak"/>
    <w:uiPriority w:val="29"/>
    <w:rsid w:val="0080586C"/>
    <w:pPr>
      <w:spacing w:before="200" w:after="160"/>
      <w:ind w:left="864" w:right="864"/>
      <w:jc w:val="center"/>
    </w:pPr>
    <w:rPr>
      <w:i/>
      <w:iCs/>
      <w:color w:val="1F00B8" w:themeColor="text1" w:themeTint="BF"/>
    </w:rPr>
  </w:style>
  <w:style w:type="character" w:customStyle="1" w:styleId="CytatZnak">
    <w:name w:val="Cytat Znak"/>
    <w:basedOn w:val="Domylnaczcionkaakapitu"/>
    <w:link w:val="Cytat"/>
    <w:uiPriority w:val="29"/>
    <w:rsid w:val="0080586C"/>
    <w:rPr>
      <w:i/>
      <w:iCs/>
      <w:color w:val="1F00B8" w:themeColor="text1" w:themeTint="BF"/>
      <w:sz w:val="20"/>
      <w:szCs w:val="20"/>
      <w:lang w:val="en-US"/>
    </w:rPr>
  </w:style>
  <w:style w:type="paragraph" w:styleId="Cytatintensywny">
    <w:name w:val="Intense Quote"/>
    <w:basedOn w:val="Normalny"/>
    <w:next w:val="Normalny"/>
    <w:link w:val="CytatintensywnyZnak"/>
    <w:uiPriority w:val="30"/>
    <w:rsid w:val="0080586C"/>
    <w:pPr>
      <w:pBdr>
        <w:top w:val="single" w:sz="4" w:space="10" w:color="0064AC" w:themeColor="accent1"/>
        <w:bottom w:val="single" w:sz="4" w:space="10" w:color="0064AC" w:themeColor="accent1"/>
      </w:pBdr>
      <w:spacing w:before="360" w:after="360"/>
      <w:ind w:left="864" w:right="864"/>
      <w:jc w:val="center"/>
    </w:pPr>
    <w:rPr>
      <w:i/>
      <w:iCs/>
      <w:color w:val="0064AC" w:themeColor="accent1"/>
    </w:rPr>
  </w:style>
  <w:style w:type="character" w:customStyle="1" w:styleId="CytatintensywnyZnak">
    <w:name w:val="Cytat intensywny Znak"/>
    <w:basedOn w:val="Domylnaczcionkaakapitu"/>
    <w:link w:val="Cytatintensywny"/>
    <w:uiPriority w:val="30"/>
    <w:rsid w:val="0080586C"/>
    <w:rPr>
      <w:i/>
      <w:iCs/>
      <w:color w:val="0064AC" w:themeColor="accent1"/>
      <w:sz w:val="20"/>
      <w:szCs w:val="20"/>
      <w:lang w:val="en-US"/>
    </w:rPr>
  </w:style>
  <w:style w:type="character" w:styleId="Odwoaniedelikatne">
    <w:name w:val="Subtle Reference"/>
    <w:basedOn w:val="Domylnaczcionkaakapitu"/>
    <w:uiPriority w:val="31"/>
    <w:rsid w:val="0080586C"/>
    <w:rPr>
      <w:smallCaps/>
      <w:color w:val="2700E4" w:themeColor="text1" w:themeTint="A5"/>
    </w:rPr>
  </w:style>
  <w:style w:type="character" w:styleId="Odwoanieintensywne">
    <w:name w:val="Intense Reference"/>
    <w:basedOn w:val="Domylnaczcionkaakapitu"/>
    <w:uiPriority w:val="32"/>
    <w:rsid w:val="0080586C"/>
    <w:rPr>
      <w:b/>
      <w:bCs/>
      <w:smallCaps/>
      <w:color w:val="0064AC" w:themeColor="accent1"/>
      <w:spacing w:val="5"/>
    </w:rPr>
  </w:style>
  <w:style w:type="character" w:styleId="Tytuksiki">
    <w:name w:val="Book Title"/>
    <w:basedOn w:val="Domylnaczcionkaakapitu"/>
    <w:uiPriority w:val="33"/>
    <w:rsid w:val="0080586C"/>
    <w:rPr>
      <w:b/>
      <w:bCs/>
      <w:i/>
      <w:iCs/>
      <w:spacing w:val="5"/>
    </w:rPr>
  </w:style>
  <w:style w:type="paragraph" w:styleId="Nagwek">
    <w:name w:val="header"/>
    <w:basedOn w:val="Normalny"/>
    <w:link w:val="NagwekZnak"/>
    <w:uiPriority w:val="99"/>
    <w:unhideWhenUsed/>
    <w:rsid w:val="00BB6633"/>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BB6633"/>
    <w:rPr>
      <w:sz w:val="20"/>
      <w:szCs w:val="20"/>
      <w:lang w:val="en-US"/>
    </w:rPr>
  </w:style>
  <w:style w:type="character" w:customStyle="1" w:styleId="UnresolvedMention">
    <w:name w:val="Unresolved Mention"/>
    <w:basedOn w:val="Domylnaczcionkaakapitu"/>
    <w:uiPriority w:val="99"/>
    <w:semiHidden/>
    <w:unhideWhenUsed/>
    <w:rsid w:val="00783424"/>
    <w:rPr>
      <w:color w:val="605E5C"/>
      <w:shd w:val="clear" w:color="auto" w:fill="E1DFDD"/>
    </w:rPr>
  </w:style>
  <w:style w:type="paragraph" w:styleId="Tekstprzypisudolnego">
    <w:name w:val="footnote text"/>
    <w:aliases w:val="-E Fuﬂnotentext,Fuﬂnotentext Ursprung,footnote text,Fußnotentext Ursprung,-E Fußnotentext,Podrozdział,Tekst przypisu,Przypis,Footnote,Podrozdzia3,-E Fußnotentext1,-E Fußnotentext2,-E Fußnotentext3,Footnote Text Char1,Plo,fn,o,Char"/>
    <w:basedOn w:val="Normalny"/>
    <w:link w:val="TekstprzypisudolnegoZnak"/>
    <w:uiPriority w:val="99"/>
    <w:unhideWhenUsed/>
    <w:qFormat/>
    <w:rsid w:val="00ED1604"/>
    <w:pPr>
      <w:spacing w:after="0" w:line="240" w:lineRule="auto"/>
    </w:pPr>
    <w:rPr>
      <w:sz w:val="20"/>
    </w:rPr>
  </w:style>
  <w:style w:type="character" w:customStyle="1" w:styleId="TekstprzypisudolnegoZnak">
    <w:name w:val="Tekst przypisu dolnego Znak"/>
    <w:aliases w:val="-E Fuﬂnotentext Znak,Fuﬂnotentext Ursprung Znak,footnote text Znak,Fußnotentext Ursprung Znak,-E Fußnotentext Znak,Podrozdział Znak,Tekst przypisu Znak,Przypis Znak,Footnote Znak,Podrozdzia3 Znak,-E Fußnotentext1 Znak,fn Znak"/>
    <w:basedOn w:val="Domylnaczcionkaakapitu"/>
    <w:link w:val="Tekstprzypisudolnego"/>
    <w:uiPriority w:val="99"/>
    <w:qFormat/>
    <w:rsid w:val="00ED1604"/>
    <w:rPr>
      <w:color w:val="0D004B" w:themeColor="text1"/>
      <w:sz w:val="20"/>
      <w:szCs w:val="20"/>
      <w:lang w:val="en-US"/>
    </w:rPr>
  </w:style>
  <w:style w:type="character" w:styleId="Odwoanieprzypisudolnego">
    <w:name w:val="footnote reference"/>
    <w:basedOn w:val="Domylnaczcionkaakapitu"/>
    <w:uiPriority w:val="99"/>
    <w:semiHidden/>
    <w:unhideWhenUsed/>
    <w:rsid w:val="00ED16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238074">
      <w:bodyDiv w:val="1"/>
      <w:marLeft w:val="0"/>
      <w:marRight w:val="0"/>
      <w:marTop w:val="0"/>
      <w:marBottom w:val="0"/>
      <w:divBdr>
        <w:top w:val="none" w:sz="0" w:space="0" w:color="auto"/>
        <w:left w:val="none" w:sz="0" w:space="0" w:color="auto"/>
        <w:bottom w:val="none" w:sz="0" w:space="0" w:color="auto"/>
        <w:right w:val="none" w:sz="0" w:space="0" w:color="auto"/>
      </w:divBdr>
    </w:div>
    <w:div w:id="1510213860">
      <w:bodyDiv w:val="1"/>
      <w:marLeft w:val="0"/>
      <w:marRight w:val="0"/>
      <w:marTop w:val="0"/>
      <w:marBottom w:val="0"/>
      <w:divBdr>
        <w:top w:val="none" w:sz="0" w:space="0" w:color="auto"/>
        <w:left w:val="none" w:sz="0" w:space="0" w:color="auto"/>
        <w:bottom w:val="none" w:sz="0" w:space="0" w:color="auto"/>
        <w:right w:val="none" w:sz="0" w:space="0" w:color="auto"/>
      </w:divBdr>
    </w:div>
    <w:div w:id="1667245418">
      <w:bodyDiv w:val="1"/>
      <w:marLeft w:val="0"/>
      <w:marRight w:val="0"/>
      <w:marTop w:val="0"/>
      <w:marBottom w:val="0"/>
      <w:divBdr>
        <w:top w:val="none" w:sz="0" w:space="0" w:color="auto"/>
        <w:left w:val="none" w:sz="0" w:space="0" w:color="auto"/>
        <w:bottom w:val="none" w:sz="0" w:space="0" w:color="auto"/>
        <w:right w:val="none" w:sz="0" w:space="0" w:color="auto"/>
      </w:divBdr>
    </w:div>
    <w:div w:id="168945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strategy/priorities-2019-2024/european-green-deal/repowereu-affordable-secure-and-sustainable-energy-europe_pl" TargetMode="External"/><Relationship Id="rId2" Type="http://schemas.openxmlformats.org/officeDocument/2006/relationships/hyperlink" Target="https://eur-lex.europa.eu/resource.html?uri=cellar:fc930f14-d7ae-11ec-a95f-01aa75ed71a1.0010.02/DOC_1&amp;format=PDF" TargetMode="External"/><Relationship Id="rId1" Type="http://schemas.openxmlformats.org/officeDocument/2006/relationships/hyperlink" Target="https://eur-lex.europa.eu/legal-content/PL/TXT/PDF/?uri=CELEX:52022DC0083&amp;from=E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Desktop\IO&#346;-PIB\Materia&#322;y%20aran&#380;owane\Wp&#322;yw%20podr&#243;zy%20lotniczych%20na%20klimat_IO&#346;-PIB.dotx" TargetMode="External"/></Relationships>
</file>

<file path=word/theme/theme1.xml><?xml version="1.0" encoding="utf-8"?>
<a:theme xmlns:a="http://schemas.openxmlformats.org/drawingml/2006/main" name="IOS-PIB">
  <a:themeElements>
    <a:clrScheme name="IOS-PIB 1">
      <a:dk1>
        <a:srgbClr val="0D004B"/>
      </a:dk1>
      <a:lt1>
        <a:srgbClr val="FFFFFF"/>
      </a:lt1>
      <a:dk2>
        <a:srgbClr val="50A4D2"/>
      </a:dk2>
      <a:lt2>
        <a:srgbClr val="9BCA44"/>
      </a:lt2>
      <a:accent1>
        <a:srgbClr val="0064AC"/>
      </a:accent1>
      <a:accent2>
        <a:srgbClr val="61BE46"/>
      </a:accent2>
      <a:accent3>
        <a:srgbClr val="C1E8FA"/>
      </a:accent3>
      <a:accent4>
        <a:srgbClr val="AAD79B"/>
      </a:accent4>
      <a:accent5>
        <a:srgbClr val="E1EEFA"/>
      </a:accent5>
      <a:accent6>
        <a:srgbClr val="EEF0A5"/>
      </a:accent6>
      <a:hlink>
        <a:srgbClr val="61BE46"/>
      </a:hlink>
      <a:folHlink>
        <a:srgbClr val="0064A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OS-PIB" id="{1EB48A46-9FE8-6047-AB21-6659D2632C47}" vid="{F984F4A0-1FCE-1B45-AA90-61F68546A4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066A3-EB42-4660-B9CF-1FC1070A2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Wpływ podrózy lotniczych na klimat_IOŚ-PIB</Template>
  <TotalTime>225</TotalTime>
  <Pages>3</Pages>
  <Words>1186</Words>
  <Characters>7118</Characters>
  <Application>Microsoft Office Word</Application>
  <DocSecurity>0</DocSecurity>
  <Lines>59</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Pasikowska Katarzyna</cp:lastModifiedBy>
  <cp:revision>7</cp:revision>
  <cp:lastPrinted>2021-01-28T14:02:00Z</cp:lastPrinted>
  <dcterms:created xsi:type="dcterms:W3CDTF">2022-01-13T07:43:00Z</dcterms:created>
  <dcterms:modified xsi:type="dcterms:W3CDTF">2022-08-04T09:12:00Z</dcterms:modified>
</cp:coreProperties>
</file>