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B755" w14:textId="27B87A44" w:rsidR="00E152D0" w:rsidRDefault="00276A21" w:rsidP="00276A21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2063B5">
        <w:rPr>
          <w:lang w:val="pl-PL"/>
        </w:rPr>
        <w:t>marzec</w:t>
      </w:r>
      <w:r w:rsidRPr="00BE4395">
        <w:rPr>
          <w:lang w:val="pl-PL"/>
        </w:rPr>
        <w:t xml:space="preserve"> 202</w:t>
      </w:r>
      <w:r w:rsidR="00055F8C">
        <w:rPr>
          <w:lang w:val="pl-PL"/>
        </w:rPr>
        <w:t>2</w:t>
      </w:r>
    </w:p>
    <w:p w14:paraId="5CBD7CD8" w14:textId="5905B6FA" w:rsidR="00055F8C" w:rsidRPr="00BE4395" w:rsidRDefault="00524300" w:rsidP="00055F8C">
      <w:pPr>
        <w:rPr>
          <w:lang w:val="pl-PL"/>
        </w:rPr>
      </w:pPr>
      <w:r>
        <w:rPr>
          <w:lang w:val="pl-PL"/>
        </w:rPr>
        <w:t>Komentarz ekspercki</w:t>
      </w:r>
    </w:p>
    <w:p w14:paraId="0F0C1E95" w14:textId="77777777" w:rsidR="00967FE6" w:rsidRDefault="00967FE6" w:rsidP="00BE4395">
      <w:pPr>
        <w:rPr>
          <w:lang w:val="pl-PL"/>
        </w:rPr>
      </w:pPr>
    </w:p>
    <w:p w14:paraId="4BD57607" w14:textId="62CB329B" w:rsidR="00FA52CF" w:rsidRPr="00FA52CF" w:rsidRDefault="002063B5" w:rsidP="00FA52C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</w:t>
      </w:r>
      <w:r w:rsidR="00FA52CF" w:rsidRPr="00FA52CF">
        <w:rPr>
          <w:b/>
          <w:bCs/>
          <w:lang w:val="pl-PL"/>
        </w:rPr>
        <w:t>2050 roku UE wprowadza neutralność klimatyczną. W 2035 roku z europejskich dróg mają zniknąć wszystkie samochody spalinowe. Czy naprawdę jesteśmy na to gotowi?</w:t>
      </w:r>
    </w:p>
    <w:p w14:paraId="2A9C7C72" w14:textId="77777777" w:rsidR="00FA52CF" w:rsidRPr="00FA52CF" w:rsidRDefault="00FA52CF" w:rsidP="009B450E">
      <w:pPr>
        <w:jc w:val="both"/>
        <w:rPr>
          <w:lang w:val="pl-PL"/>
        </w:rPr>
      </w:pPr>
    </w:p>
    <w:p w14:paraId="5B626C8A" w14:textId="77777777" w:rsidR="00FA52CF" w:rsidRDefault="00FA52CF" w:rsidP="009B450E">
      <w:pPr>
        <w:jc w:val="both"/>
        <w:rPr>
          <w:lang w:val="pl-PL"/>
        </w:rPr>
      </w:pPr>
      <w:r w:rsidRPr="00FA52CF">
        <w:rPr>
          <w:b/>
          <w:bCs/>
          <w:lang w:val="pl-PL"/>
        </w:rPr>
        <w:t>Trzeba podkreślić, że wyniki scenariuszy analitycznych przedstawionych w pakiecie „Fit for 55” wskazują, że utrzymanie obecnych standardów emisji CO2 będzie niewystarczające</w:t>
      </w:r>
      <w:r w:rsidRPr="00FA52CF">
        <w:rPr>
          <w:lang w:val="pl-PL"/>
        </w:rPr>
        <w:t xml:space="preserve"> do obniżenia emisji do poziomów zgodnych z celem co najmniej -55% na 2030 r. i celami neutralności klimatycznej na 2050 r. </w:t>
      </w:r>
    </w:p>
    <w:p w14:paraId="6DA3C22E" w14:textId="7AC9F3D1" w:rsidR="00FA52CF" w:rsidRDefault="00FA52CF" w:rsidP="009B450E">
      <w:pPr>
        <w:jc w:val="both"/>
        <w:rPr>
          <w:lang w:val="pl-PL"/>
        </w:rPr>
      </w:pPr>
      <w:r w:rsidRPr="00FA52CF">
        <w:rPr>
          <w:lang w:val="pl-PL"/>
        </w:rPr>
        <w:t>Tak, więc przedstawiona przez Komisje Europejska propozycja wprowadzenia zakazu sprzedaży aut spalinowych (osobowych i dostawczych) po 2035 r</w:t>
      </w:r>
      <w:r w:rsidR="00BB5D80">
        <w:rPr>
          <w:lang w:val="pl-PL"/>
        </w:rPr>
        <w:t>.</w:t>
      </w:r>
      <w:r w:rsidRPr="00FA52CF">
        <w:rPr>
          <w:lang w:val="pl-PL"/>
        </w:rPr>
        <w:t xml:space="preserve">, oraz ustalenie celu dla nowych samochodów osobowych na poziomie -55% w 2030 w stosunku do 2021 wynikają z następujących przesłanek: </w:t>
      </w:r>
    </w:p>
    <w:p w14:paraId="1C3AA959" w14:textId="77777777" w:rsidR="00FA52CF" w:rsidRDefault="00FA52CF" w:rsidP="009B450E">
      <w:pPr>
        <w:jc w:val="both"/>
        <w:rPr>
          <w:lang w:val="pl-PL"/>
        </w:rPr>
      </w:pPr>
      <w:r>
        <w:sym w:font="Symbol" w:char="F0B7"/>
      </w:r>
      <w:r w:rsidRPr="00FA52CF">
        <w:rPr>
          <w:lang w:val="pl-PL"/>
        </w:rPr>
        <w:t xml:space="preserve"> wzrasta aktywność w transporcie drogowym, a tym samym rosną emisje CO2, </w:t>
      </w:r>
    </w:p>
    <w:p w14:paraId="622C5CF6" w14:textId="079A8916" w:rsidR="00FA52CF" w:rsidRDefault="00FA52CF" w:rsidP="009B450E">
      <w:pPr>
        <w:jc w:val="both"/>
        <w:rPr>
          <w:lang w:val="pl-PL"/>
        </w:rPr>
      </w:pPr>
      <w:r>
        <w:sym w:font="Symbol" w:char="F0B7"/>
      </w:r>
      <w:r w:rsidRPr="00FA52CF">
        <w:rPr>
          <w:lang w:val="pl-PL"/>
        </w:rPr>
        <w:t xml:space="preserve"> zużycia paliw kopalnych pozostaje na niezmienionym poziomie</w:t>
      </w:r>
      <w:r>
        <w:rPr>
          <w:lang w:val="pl-PL"/>
        </w:rPr>
        <w:t>.</w:t>
      </w:r>
    </w:p>
    <w:p w14:paraId="13D05D76" w14:textId="2B65F704" w:rsidR="00FA52CF" w:rsidRDefault="00FA52CF" w:rsidP="009B450E">
      <w:pPr>
        <w:jc w:val="both"/>
        <w:rPr>
          <w:lang w:val="pl-PL"/>
        </w:rPr>
      </w:pPr>
      <w:r w:rsidRPr="00FA52CF">
        <w:rPr>
          <w:lang w:val="pl-PL"/>
        </w:rPr>
        <w:t xml:space="preserve">Jeśli chodzi o obecnie identyfikowane problemy związane z wprowadzaniem na rynek pojazdów zeroemisyjnych należy zwrócić uwagę na kilka kwestii. Po pierwsze, stopień wykorzystania </w:t>
      </w:r>
      <w:r w:rsidR="00BB5D80">
        <w:rPr>
          <w:lang w:val="pl-PL"/>
        </w:rPr>
        <w:t xml:space="preserve">tego typu </w:t>
      </w:r>
      <w:r w:rsidRPr="00FA52CF">
        <w:rPr>
          <w:lang w:val="pl-PL"/>
        </w:rPr>
        <w:t xml:space="preserve">samochodów przy obecnych normach emisji dla nowych samochodów będzie niewystarczający do osiągnięcia neutralności klimatycznej. Kolejną kwestią jest niedostateczne dostosowanie infrastruktury ładowania i tankowania pojazdów zeroemisyjnych, które jest barierą dla zwiększenia udziału tych pojazdów na rynku. Ponadto, obecnie mamy brak wyraźnych korzyści po stronie konsumentów i firm oraz ograniczoną akceptację potencjalnych nabywców dla nowych technologii (elektrycznych i wodorowych) z powodu braku dostępności do infrastruktury ładowania i tankowania. </w:t>
      </w:r>
    </w:p>
    <w:p w14:paraId="404785BE" w14:textId="77777777" w:rsidR="00FA52CF" w:rsidRDefault="00FA52CF" w:rsidP="009B450E">
      <w:pPr>
        <w:jc w:val="both"/>
        <w:rPr>
          <w:lang w:val="pl-PL"/>
        </w:rPr>
      </w:pPr>
      <w:r w:rsidRPr="00FA52CF">
        <w:rPr>
          <w:lang w:val="pl-PL"/>
        </w:rPr>
        <w:t xml:space="preserve">Wyścig technologiczny w obszarze transportowym już się zaczął i UE może utracić pozycję światowego lidera na rynku motoryzacyjnym z uwagi na niskie wydatki na B+R w dziedzinie technologii bateryjnych (szczególnie w stosunku do USA i Chin). </w:t>
      </w:r>
    </w:p>
    <w:p w14:paraId="19A9FE7F" w14:textId="7AB4ECC8" w:rsidR="00FA52CF" w:rsidRDefault="00FA52CF" w:rsidP="009B450E">
      <w:pPr>
        <w:jc w:val="both"/>
        <w:rPr>
          <w:lang w:val="pl-PL"/>
        </w:rPr>
      </w:pPr>
      <w:r w:rsidRPr="00FA52CF">
        <w:rPr>
          <w:b/>
          <w:bCs/>
          <w:lang w:val="pl-PL"/>
        </w:rPr>
        <w:t>Propozycje (zaostrzonych) średnich norm emisji dla nowych samochodów osobowych oraz dostawczych</w:t>
      </w:r>
      <w:r>
        <w:rPr>
          <w:lang w:val="pl-PL"/>
        </w:rPr>
        <w:t>.</w:t>
      </w:r>
    </w:p>
    <w:p w14:paraId="09ECBD08" w14:textId="5A1C7F7F" w:rsidR="00FA52CF" w:rsidRDefault="00FA52CF" w:rsidP="009B450E">
      <w:pPr>
        <w:jc w:val="both"/>
        <w:rPr>
          <w:lang w:val="pl-PL"/>
        </w:rPr>
      </w:pPr>
    </w:p>
    <w:p w14:paraId="12540FB2" w14:textId="3DEACA00" w:rsidR="00FA52CF" w:rsidRDefault="00FA52CF" w:rsidP="009B450E">
      <w:pPr>
        <w:jc w:val="both"/>
        <w:rPr>
          <w:lang w:val="pl-PL"/>
        </w:rPr>
      </w:pPr>
    </w:p>
    <w:p w14:paraId="73542D86" w14:textId="7F63717A" w:rsidR="00FA52CF" w:rsidRDefault="00FA52CF" w:rsidP="009B450E">
      <w:pPr>
        <w:jc w:val="both"/>
        <w:rPr>
          <w:lang w:val="pl-PL"/>
        </w:rPr>
      </w:pPr>
    </w:p>
    <w:p w14:paraId="250542A5" w14:textId="77777777" w:rsidR="00FA52CF" w:rsidRDefault="00FA52CF" w:rsidP="009B450E">
      <w:pPr>
        <w:jc w:val="both"/>
        <w:rPr>
          <w:lang w:val="pl-PL"/>
        </w:rPr>
      </w:pPr>
    </w:p>
    <w:p w14:paraId="57851203" w14:textId="77777777" w:rsidR="00FA52CF" w:rsidRDefault="00FA52CF" w:rsidP="009B450E">
      <w:pPr>
        <w:jc w:val="both"/>
        <w:rPr>
          <w:lang w:val="pl-PL"/>
        </w:rPr>
      </w:pPr>
    </w:p>
    <w:p w14:paraId="0753462A" w14:textId="77777777" w:rsidR="00FA52CF" w:rsidRDefault="00FA52CF" w:rsidP="009B450E">
      <w:pPr>
        <w:jc w:val="both"/>
        <w:rPr>
          <w:lang w:val="pl-PL"/>
        </w:rPr>
        <w:sectPr w:rsidR="00FA52CF" w:rsidSect="0052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418" w:bottom="1418" w:left="1418" w:header="624" w:footer="539" w:gutter="0"/>
          <w:cols w:space="708"/>
          <w:docGrid w:linePitch="360"/>
        </w:sectPr>
      </w:pPr>
    </w:p>
    <w:p w14:paraId="1866FF86" w14:textId="01C221B5" w:rsidR="00FA52CF" w:rsidRDefault="00FA52CF" w:rsidP="009B450E">
      <w:pPr>
        <w:jc w:val="both"/>
        <w:rPr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58240" behindDoc="1" locked="0" layoutInCell="1" allowOverlap="1" wp14:anchorId="674344D1" wp14:editId="3CBA381C">
            <wp:simplePos x="0" y="0"/>
            <wp:positionH relativeFrom="column">
              <wp:align>left</wp:align>
            </wp:positionH>
            <wp:positionV relativeFrom="paragraph">
              <wp:posOffset>603423</wp:posOffset>
            </wp:positionV>
            <wp:extent cx="5749925" cy="2251075"/>
            <wp:effectExtent l="0" t="0" r="3175" b="0"/>
            <wp:wrapTight wrapText="bothSides">
              <wp:wrapPolygon edited="0">
                <wp:start x="0" y="0"/>
                <wp:lineTo x="0" y="21387"/>
                <wp:lineTo x="21540" y="21387"/>
                <wp:lineTo x="215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2CF">
        <w:rPr>
          <w:lang w:val="pl-PL"/>
        </w:rPr>
        <w:t>Wyk</w:t>
      </w:r>
      <w:r>
        <w:rPr>
          <w:lang w:val="pl-PL"/>
        </w:rPr>
        <w:t>r</w:t>
      </w:r>
      <w:r w:rsidRPr="00FA52CF">
        <w:rPr>
          <w:lang w:val="pl-PL"/>
        </w:rPr>
        <w:t>es 1</w:t>
      </w:r>
      <w:r w:rsidR="00BB5D80">
        <w:rPr>
          <w:lang w:val="pl-PL"/>
        </w:rPr>
        <w:t>.</w:t>
      </w:r>
      <w:r w:rsidRPr="00FA52CF">
        <w:rPr>
          <w:lang w:val="pl-PL"/>
        </w:rPr>
        <w:t xml:space="preserve"> Redukcja norm CO2 dla aut osobowych w stosunku do 2021 roku [aktualny cel vs Fit for 55] </w:t>
      </w:r>
    </w:p>
    <w:p w14:paraId="4D73E188" w14:textId="0F93DAA6" w:rsidR="00FA52CF" w:rsidRDefault="00FA52CF" w:rsidP="009B450E">
      <w:pPr>
        <w:jc w:val="both"/>
        <w:rPr>
          <w:lang w:val="pl-PL"/>
        </w:rPr>
      </w:pPr>
      <w:r w:rsidRPr="00FA52CF">
        <w:rPr>
          <w:lang w:val="pl-PL"/>
        </w:rPr>
        <w:t>Wyk</w:t>
      </w:r>
      <w:r>
        <w:rPr>
          <w:lang w:val="pl-PL"/>
        </w:rPr>
        <w:t>r</w:t>
      </w:r>
      <w:r w:rsidRPr="00FA52CF">
        <w:rPr>
          <w:lang w:val="pl-PL"/>
        </w:rPr>
        <w:t>es 2</w:t>
      </w:r>
      <w:r w:rsidR="00BB5D80">
        <w:rPr>
          <w:lang w:val="pl-PL"/>
        </w:rPr>
        <w:t>.</w:t>
      </w:r>
      <w:r w:rsidRPr="00FA52CF">
        <w:rPr>
          <w:lang w:val="pl-PL"/>
        </w:rPr>
        <w:t xml:space="preserve"> Redukcja norm CO2 dla aut dostawczych w stosunku do 2021 roku [aktualny cel vs Fit for 55] </w:t>
      </w:r>
    </w:p>
    <w:p w14:paraId="20B75B94" w14:textId="77777777" w:rsidR="00FA52CF" w:rsidRDefault="00FA52CF" w:rsidP="009B450E">
      <w:pPr>
        <w:jc w:val="both"/>
        <w:rPr>
          <w:lang w:val="pl-PL"/>
        </w:rPr>
        <w:sectPr w:rsidR="00FA52CF" w:rsidSect="00FA52CF">
          <w:type w:val="continuous"/>
          <w:pgSz w:w="11900" w:h="16840"/>
          <w:pgMar w:top="2268" w:right="1418" w:bottom="1418" w:left="1418" w:header="624" w:footer="539" w:gutter="0"/>
          <w:cols w:num="2" w:space="708"/>
          <w:docGrid w:linePitch="360"/>
        </w:sectPr>
      </w:pPr>
    </w:p>
    <w:p w14:paraId="683028CC" w14:textId="77777777" w:rsidR="00FA52CF" w:rsidRPr="00FA52CF" w:rsidRDefault="00FA52CF" w:rsidP="009B450E">
      <w:pPr>
        <w:jc w:val="both"/>
        <w:rPr>
          <w:i/>
          <w:iCs/>
          <w:lang w:val="pl-PL"/>
        </w:rPr>
      </w:pPr>
      <w:r w:rsidRPr="00FA52CF">
        <w:rPr>
          <w:i/>
          <w:iCs/>
          <w:lang w:val="pl-PL"/>
        </w:rPr>
        <w:t xml:space="preserve">Źródło: Centrum Analiz Klimatyczno-Energetycznych (CAKE/KOBiZE) </w:t>
      </w:r>
    </w:p>
    <w:p w14:paraId="20F6AE85" w14:textId="77777777" w:rsidR="00FA52CF" w:rsidRDefault="00FA52CF" w:rsidP="009B450E">
      <w:pPr>
        <w:jc w:val="both"/>
        <w:rPr>
          <w:lang w:val="pl-PL"/>
        </w:rPr>
      </w:pPr>
    </w:p>
    <w:p w14:paraId="3E508C30" w14:textId="77777777" w:rsidR="00FA52CF" w:rsidRDefault="00FA52CF" w:rsidP="009B450E">
      <w:pPr>
        <w:jc w:val="both"/>
        <w:rPr>
          <w:lang w:val="pl-PL"/>
        </w:rPr>
      </w:pPr>
      <w:r w:rsidRPr="00FA52CF">
        <w:rPr>
          <w:b/>
          <w:bCs/>
          <w:lang w:val="pl-PL"/>
        </w:rPr>
        <w:t>Struktura sprzedaży nowych samochodów osobowych i dostawczych będzie w znacznym stopniu zależeć od obowiązujących regulacji.</w:t>
      </w:r>
      <w:r w:rsidRPr="00FA52CF">
        <w:rPr>
          <w:lang w:val="pl-PL"/>
        </w:rPr>
        <w:t xml:space="preserve"> Wyniki przeprowadzonych przez CAKE/KOBiZE analiz pokazują, że bez znacznego pogłębienia redukcji norm dla nowych samochodów osobowych i dostawczych osiągnięcie w 2035 roku sprzedaży wyłącznie pojazdów zeroemisyjnych będzie trudne. </w:t>
      </w:r>
    </w:p>
    <w:p w14:paraId="4305E731" w14:textId="2750F17A" w:rsidR="00FA52CF" w:rsidRDefault="00FA52CF" w:rsidP="009B450E">
      <w:pPr>
        <w:jc w:val="both"/>
        <w:rPr>
          <w:lang w:val="pl-PL"/>
        </w:rPr>
      </w:pPr>
      <w:r w:rsidRPr="00FA52CF">
        <w:rPr>
          <w:lang w:val="pl-PL"/>
        </w:rPr>
        <w:t xml:space="preserve">Pamiętajmy, że proces odchodzenia od pojazdów spalinowych (zasilanych benzyną i ON) jest długotrwały, zależny od stopnia wycofywania pojazdów z obiegu jak i tempa zakupu pojazdów zeroemisyjnych. Najbardziej istotną kwestią w tym procesie a tym samym „początkiem końca” ery samochodów z silnikami wewnętrznego spalania będzie moment pełnego zaprzestania sprzedaży tych pojazdów, a to może nastąpić za ok. 20 lat, a więc pod koniec czwartej dekady bieżącego stulecia. </w:t>
      </w:r>
    </w:p>
    <w:p w14:paraId="674C9E99" w14:textId="016D4627" w:rsidR="00FA52CF" w:rsidRDefault="00FA52CF" w:rsidP="009B450E">
      <w:pPr>
        <w:jc w:val="both"/>
        <w:rPr>
          <w:lang w:val="pl-PL"/>
        </w:rPr>
      </w:pPr>
    </w:p>
    <w:p w14:paraId="5828EF3A" w14:textId="77777777" w:rsidR="00FA52CF" w:rsidRDefault="00FA52CF" w:rsidP="009B450E">
      <w:pPr>
        <w:jc w:val="both"/>
        <w:rPr>
          <w:lang w:val="pl-PL"/>
        </w:rPr>
      </w:pPr>
    </w:p>
    <w:p w14:paraId="427BED71" w14:textId="334F1643" w:rsidR="00FA52CF" w:rsidRDefault="00524300" w:rsidP="00FA52CF">
      <w:pPr>
        <w:jc w:val="right"/>
        <w:rPr>
          <w:lang w:val="pl-PL"/>
        </w:rPr>
      </w:pPr>
      <w:r>
        <w:rPr>
          <w:lang w:val="pl-PL"/>
        </w:rPr>
        <w:t>Autor komentarza</w:t>
      </w:r>
      <w:r w:rsidR="00FA52CF" w:rsidRPr="00FA52CF">
        <w:rPr>
          <w:lang w:val="pl-PL"/>
        </w:rPr>
        <w:t xml:space="preserve">: dr inż. Krystian Szczepański </w:t>
      </w:r>
    </w:p>
    <w:p w14:paraId="2C25F65B" w14:textId="54830C4E" w:rsidR="00A2665D" w:rsidRDefault="00FA52CF" w:rsidP="00FA52CF">
      <w:pPr>
        <w:jc w:val="right"/>
        <w:rPr>
          <w:b/>
          <w:bCs/>
          <w:lang w:val="pl-PL"/>
        </w:rPr>
      </w:pPr>
      <w:r w:rsidRPr="00FA52CF">
        <w:rPr>
          <w:lang w:val="pl-PL"/>
        </w:rPr>
        <w:t>Dyrektor Instytutu Ochrony Środowiska – Państwowego Instytutu Badawczego</w:t>
      </w:r>
    </w:p>
    <w:sectPr w:rsidR="00A2665D" w:rsidSect="00FA52CF">
      <w:type w:val="continuous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EB7F" w14:textId="77777777" w:rsidR="00AF48C2" w:rsidRDefault="00AF48C2" w:rsidP="004024BF">
      <w:r>
        <w:separator/>
      </w:r>
    </w:p>
    <w:p w14:paraId="2A9B4207" w14:textId="77777777" w:rsidR="00AF48C2" w:rsidRDefault="00AF48C2"/>
  </w:endnote>
  <w:endnote w:type="continuationSeparator" w:id="0">
    <w:p w14:paraId="4D12EDA2" w14:textId="77777777" w:rsidR="00AF48C2" w:rsidRDefault="00AF48C2" w:rsidP="004024BF">
      <w:r>
        <w:continuationSeparator/>
      </w:r>
    </w:p>
    <w:p w14:paraId="6A333352" w14:textId="77777777" w:rsidR="00AF48C2" w:rsidRDefault="00AF4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2D89F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7D0A66" w14:textId="77777777" w:rsidR="0064567B" w:rsidRDefault="0064567B" w:rsidP="00204FB2">
    <w:pPr>
      <w:pStyle w:val="Stopka"/>
      <w:ind w:right="360"/>
    </w:pPr>
  </w:p>
  <w:p w14:paraId="7204E58F" w14:textId="77777777" w:rsidR="0064567B" w:rsidRDefault="0064567B"/>
  <w:p w14:paraId="40E79E7A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6CD55438" w14:textId="77777777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>
          <w:rPr>
            <w:rStyle w:val="Numerstrony"/>
            <w:sz w:val="16"/>
            <w:szCs w:val="16"/>
          </w:rPr>
          <w:t>3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4F0CD151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/>
      </w:rPr>
      <w:drawing>
        <wp:anchor distT="0" distB="0" distL="114300" distR="114300" simplePos="0" relativeHeight="251659264" behindDoc="1" locked="0" layoutInCell="1" allowOverlap="1" wp14:anchorId="30B92B54" wp14:editId="4ABFFEB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00CF" w14:textId="77777777" w:rsidR="00522D0C" w:rsidRDefault="0052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14DD" w14:textId="77777777" w:rsidR="00AF48C2" w:rsidRDefault="00AF48C2" w:rsidP="004024BF">
      <w:r>
        <w:separator/>
      </w:r>
    </w:p>
    <w:p w14:paraId="0B2F15B1" w14:textId="77777777" w:rsidR="00AF48C2" w:rsidRDefault="00AF48C2"/>
  </w:footnote>
  <w:footnote w:type="continuationSeparator" w:id="0">
    <w:p w14:paraId="7E143016" w14:textId="77777777" w:rsidR="00AF48C2" w:rsidRDefault="00AF48C2" w:rsidP="004024BF">
      <w:r>
        <w:continuationSeparator/>
      </w:r>
    </w:p>
    <w:p w14:paraId="6785B034" w14:textId="77777777" w:rsidR="00AF48C2" w:rsidRDefault="00AF4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AF1" w14:textId="77777777" w:rsidR="00522D0C" w:rsidRDefault="0052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136" w14:textId="77777777" w:rsidR="0064567B" w:rsidRDefault="00A15001" w:rsidP="00A63EC0">
    <w:pPr>
      <w:pStyle w:val="Header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BCEE3" wp14:editId="209C8C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2490" w14:textId="77777777" w:rsidR="00522D0C" w:rsidRDefault="0052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5136BC"/>
    <w:multiLevelType w:val="hybridMultilevel"/>
    <w:tmpl w:val="05A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5"/>
  </w:num>
  <w:num w:numId="4">
    <w:abstractNumId w:val="32"/>
  </w:num>
  <w:num w:numId="5">
    <w:abstractNumId w:val="11"/>
  </w:num>
  <w:num w:numId="6">
    <w:abstractNumId w:val="36"/>
  </w:num>
  <w:num w:numId="7">
    <w:abstractNumId w:val="27"/>
  </w:num>
  <w:num w:numId="8">
    <w:abstractNumId w:val="46"/>
  </w:num>
  <w:num w:numId="9">
    <w:abstractNumId w:val="30"/>
  </w:num>
  <w:num w:numId="10">
    <w:abstractNumId w:val="17"/>
  </w:num>
  <w:num w:numId="11">
    <w:abstractNumId w:val="22"/>
  </w:num>
  <w:num w:numId="12">
    <w:abstractNumId w:val="14"/>
  </w:num>
  <w:num w:numId="13">
    <w:abstractNumId w:val="25"/>
  </w:num>
  <w:num w:numId="14">
    <w:abstractNumId w:val="6"/>
  </w:num>
  <w:num w:numId="15">
    <w:abstractNumId w:val="20"/>
  </w:num>
  <w:num w:numId="16">
    <w:abstractNumId w:val="35"/>
  </w:num>
  <w:num w:numId="17">
    <w:abstractNumId w:val="52"/>
  </w:num>
  <w:num w:numId="18">
    <w:abstractNumId w:val="7"/>
  </w:num>
  <w:num w:numId="19">
    <w:abstractNumId w:val="33"/>
  </w:num>
  <w:num w:numId="20">
    <w:abstractNumId w:val="2"/>
  </w:num>
  <w:num w:numId="21">
    <w:abstractNumId w:val="48"/>
  </w:num>
  <w:num w:numId="22">
    <w:abstractNumId w:val="31"/>
  </w:num>
  <w:num w:numId="23">
    <w:abstractNumId w:val="15"/>
  </w:num>
  <w:num w:numId="24">
    <w:abstractNumId w:val="39"/>
  </w:num>
  <w:num w:numId="25">
    <w:abstractNumId w:val="26"/>
  </w:num>
  <w:num w:numId="26">
    <w:abstractNumId w:val="16"/>
  </w:num>
  <w:num w:numId="27">
    <w:abstractNumId w:val="19"/>
  </w:num>
  <w:num w:numId="28">
    <w:abstractNumId w:val="24"/>
  </w:num>
  <w:num w:numId="29">
    <w:abstractNumId w:val="1"/>
  </w:num>
  <w:num w:numId="30">
    <w:abstractNumId w:val="53"/>
  </w:num>
  <w:num w:numId="31">
    <w:abstractNumId w:val="50"/>
  </w:num>
  <w:num w:numId="32">
    <w:abstractNumId w:val="43"/>
  </w:num>
  <w:num w:numId="33">
    <w:abstractNumId w:val="13"/>
  </w:num>
  <w:num w:numId="34">
    <w:abstractNumId w:val="5"/>
  </w:num>
  <w:num w:numId="35">
    <w:abstractNumId w:val="29"/>
  </w:num>
  <w:num w:numId="36">
    <w:abstractNumId w:val="9"/>
  </w:num>
  <w:num w:numId="37">
    <w:abstractNumId w:val="12"/>
  </w:num>
  <w:num w:numId="38">
    <w:abstractNumId w:val="4"/>
  </w:num>
  <w:num w:numId="39">
    <w:abstractNumId w:val="49"/>
  </w:num>
  <w:num w:numId="40">
    <w:abstractNumId w:val="34"/>
  </w:num>
  <w:num w:numId="41">
    <w:abstractNumId w:val="44"/>
  </w:num>
  <w:num w:numId="42">
    <w:abstractNumId w:val="0"/>
  </w:num>
  <w:num w:numId="43">
    <w:abstractNumId w:val="21"/>
  </w:num>
  <w:num w:numId="44">
    <w:abstractNumId w:val="41"/>
  </w:num>
  <w:num w:numId="45">
    <w:abstractNumId w:val="28"/>
  </w:num>
  <w:num w:numId="46">
    <w:abstractNumId w:val="47"/>
  </w:num>
  <w:num w:numId="47">
    <w:abstractNumId w:val="42"/>
  </w:num>
  <w:num w:numId="48">
    <w:abstractNumId w:val="23"/>
  </w:num>
  <w:num w:numId="49">
    <w:abstractNumId w:val="37"/>
  </w:num>
  <w:num w:numId="50">
    <w:abstractNumId w:val="3"/>
  </w:num>
  <w:num w:numId="51">
    <w:abstractNumId w:val="40"/>
  </w:num>
  <w:num w:numId="52">
    <w:abstractNumId w:val="10"/>
  </w:num>
  <w:num w:numId="53">
    <w:abstractNumId w:val="51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F"/>
    <w:rsid w:val="00007894"/>
    <w:rsid w:val="00010505"/>
    <w:rsid w:val="000125F3"/>
    <w:rsid w:val="000127FD"/>
    <w:rsid w:val="0001314E"/>
    <w:rsid w:val="0004386A"/>
    <w:rsid w:val="00052362"/>
    <w:rsid w:val="00055F8C"/>
    <w:rsid w:val="0007062B"/>
    <w:rsid w:val="000729AC"/>
    <w:rsid w:val="00083465"/>
    <w:rsid w:val="00097A2F"/>
    <w:rsid w:val="000D752E"/>
    <w:rsid w:val="00101E83"/>
    <w:rsid w:val="00170F6F"/>
    <w:rsid w:val="001958D7"/>
    <w:rsid w:val="001D0AC0"/>
    <w:rsid w:val="001D24FC"/>
    <w:rsid w:val="001F53F2"/>
    <w:rsid w:val="00204FB2"/>
    <w:rsid w:val="002063B5"/>
    <w:rsid w:val="00242DFF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662B9"/>
    <w:rsid w:val="00391462"/>
    <w:rsid w:val="003F1554"/>
    <w:rsid w:val="004024BF"/>
    <w:rsid w:val="0042683E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4300"/>
    <w:rsid w:val="005278CF"/>
    <w:rsid w:val="00534D6B"/>
    <w:rsid w:val="00547900"/>
    <w:rsid w:val="00562477"/>
    <w:rsid w:val="00562694"/>
    <w:rsid w:val="00575344"/>
    <w:rsid w:val="005A11D4"/>
    <w:rsid w:val="005C6688"/>
    <w:rsid w:val="005D13EA"/>
    <w:rsid w:val="005D3660"/>
    <w:rsid w:val="005F1C15"/>
    <w:rsid w:val="0064567B"/>
    <w:rsid w:val="006546C0"/>
    <w:rsid w:val="00670BE4"/>
    <w:rsid w:val="006C4D14"/>
    <w:rsid w:val="006D1F76"/>
    <w:rsid w:val="006E60B0"/>
    <w:rsid w:val="00701769"/>
    <w:rsid w:val="00714C9B"/>
    <w:rsid w:val="007163EB"/>
    <w:rsid w:val="00736598"/>
    <w:rsid w:val="007428DF"/>
    <w:rsid w:val="00751E99"/>
    <w:rsid w:val="007562E4"/>
    <w:rsid w:val="00783424"/>
    <w:rsid w:val="007A1B96"/>
    <w:rsid w:val="007E1966"/>
    <w:rsid w:val="0080586C"/>
    <w:rsid w:val="00831E6F"/>
    <w:rsid w:val="008A0694"/>
    <w:rsid w:val="008D2303"/>
    <w:rsid w:val="008E13E2"/>
    <w:rsid w:val="008E24BB"/>
    <w:rsid w:val="008F6606"/>
    <w:rsid w:val="008F6D62"/>
    <w:rsid w:val="00914F7D"/>
    <w:rsid w:val="00967FE6"/>
    <w:rsid w:val="00970ED1"/>
    <w:rsid w:val="00982EDD"/>
    <w:rsid w:val="00983999"/>
    <w:rsid w:val="009941DD"/>
    <w:rsid w:val="009A02B7"/>
    <w:rsid w:val="009B445D"/>
    <w:rsid w:val="009B450E"/>
    <w:rsid w:val="009C7B88"/>
    <w:rsid w:val="009E2381"/>
    <w:rsid w:val="009F4551"/>
    <w:rsid w:val="00A13978"/>
    <w:rsid w:val="00A15001"/>
    <w:rsid w:val="00A2665D"/>
    <w:rsid w:val="00A446E1"/>
    <w:rsid w:val="00A46C0E"/>
    <w:rsid w:val="00A63EC0"/>
    <w:rsid w:val="00A73842"/>
    <w:rsid w:val="00A8395F"/>
    <w:rsid w:val="00A83DF1"/>
    <w:rsid w:val="00A955A7"/>
    <w:rsid w:val="00AD5B43"/>
    <w:rsid w:val="00AE2CAD"/>
    <w:rsid w:val="00AF48C2"/>
    <w:rsid w:val="00B07FD7"/>
    <w:rsid w:val="00B74040"/>
    <w:rsid w:val="00B75A5E"/>
    <w:rsid w:val="00B75B5C"/>
    <w:rsid w:val="00B82F7A"/>
    <w:rsid w:val="00BA3FD9"/>
    <w:rsid w:val="00BA6BD0"/>
    <w:rsid w:val="00BB0030"/>
    <w:rsid w:val="00BB5D80"/>
    <w:rsid w:val="00BB6633"/>
    <w:rsid w:val="00BE4395"/>
    <w:rsid w:val="00C35F6A"/>
    <w:rsid w:val="00C41ADD"/>
    <w:rsid w:val="00C77C6E"/>
    <w:rsid w:val="00CA66E3"/>
    <w:rsid w:val="00CF073A"/>
    <w:rsid w:val="00D05555"/>
    <w:rsid w:val="00D2115D"/>
    <w:rsid w:val="00DB2488"/>
    <w:rsid w:val="00DC047F"/>
    <w:rsid w:val="00DC6C1F"/>
    <w:rsid w:val="00DD61ED"/>
    <w:rsid w:val="00DE460B"/>
    <w:rsid w:val="00E152D0"/>
    <w:rsid w:val="00E608F9"/>
    <w:rsid w:val="00E67739"/>
    <w:rsid w:val="00E84976"/>
    <w:rsid w:val="00EA054C"/>
    <w:rsid w:val="00EA736F"/>
    <w:rsid w:val="00EB7156"/>
    <w:rsid w:val="00F30DFB"/>
    <w:rsid w:val="00F637D0"/>
    <w:rsid w:val="00F64F88"/>
    <w:rsid w:val="00F71EE6"/>
    <w:rsid w:val="00FA52CF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F698"/>
  <w15:chartTrackingRefBased/>
  <w15:docId w15:val="{6C1E2763-CD59-49B1-BCBB-A633C03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F9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F9"/>
    <w:rPr>
      <w:color w:val="0D004B" w:themeColor="text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DGP_odpowied&#378;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26718-FCF0-B449-B97B-2025BA1E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DGP_odpowiedź.dotx</Template>
  <TotalTime>133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Katarzyna Pasikowska</cp:lastModifiedBy>
  <cp:revision>10</cp:revision>
  <cp:lastPrinted>2021-01-28T14:02:00Z</cp:lastPrinted>
  <dcterms:created xsi:type="dcterms:W3CDTF">2022-02-22T11:27:00Z</dcterms:created>
  <dcterms:modified xsi:type="dcterms:W3CDTF">2022-03-08T09:47:00Z</dcterms:modified>
</cp:coreProperties>
</file>